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76CB" w14:textId="3265AFF6" w:rsidR="008E000B" w:rsidRDefault="009D71E8" w:rsidP="008C0B4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D517D">
        <w:t>Temple Learning Academy</w:t>
      </w:r>
      <w:r w:rsidR="008C0B48">
        <w:t xml:space="preserve"> 202</w:t>
      </w:r>
      <w:r w:rsidR="00AE3365">
        <w:t>4</w:t>
      </w:r>
      <w:r w:rsidR="00F84F33">
        <w:t>-2</w:t>
      </w:r>
      <w:r w:rsidR="00AE3365">
        <w:t>5</w:t>
      </w:r>
    </w:p>
    <w:p w14:paraId="2A7D54B2" w14:textId="0088E84D" w:rsidR="00E66558" w:rsidRDefault="009D71E8" w:rsidP="00C62989">
      <w:pPr>
        <w:rPr>
          <w:b/>
        </w:rPr>
      </w:pPr>
      <w:r>
        <w:t xml:space="preserve">This statement details our school’s use of pupil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7396FFE" w:rsidR="002940F3" w:rsidRDefault="00DD517D">
            <w:pPr>
              <w:pStyle w:val="TableRow"/>
            </w:pPr>
            <w:r>
              <w:t>9</w:t>
            </w:r>
            <w:r w:rsidR="00DF0039">
              <w:t>72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972EB0B" w:rsidR="002940F3" w:rsidRDefault="00DD517D">
            <w:pPr>
              <w:pStyle w:val="TableRow"/>
            </w:pPr>
            <w:r>
              <w:t>5</w:t>
            </w:r>
            <w:r w:rsidR="00E27EA5">
              <w:t>4</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C1022D0" w:rsidR="002940F3" w:rsidRDefault="00DD517D">
            <w:pPr>
              <w:pStyle w:val="TableRow"/>
            </w:pPr>
            <w:r>
              <w:t>202</w:t>
            </w:r>
            <w:r w:rsidR="00E27EA5">
              <w:t>4</w:t>
            </w:r>
            <w:r>
              <w:t>-202</w:t>
            </w:r>
            <w:r w:rsidR="00E27EA5">
              <w:t>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D0D57DD" w:rsidR="002940F3" w:rsidRDefault="00CE2034">
            <w:pPr>
              <w:pStyle w:val="TableRow"/>
            </w:pPr>
            <w:r>
              <w:t>18.12.2024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5E3455D" w:rsidR="002940F3" w:rsidRDefault="00CE2034">
            <w:pPr>
              <w:pStyle w:val="TableRow"/>
            </w:pPr>
            <w:r>
              <w:t>8.9.2025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A9388B5" w:rsidR="002940F3" w:rsidRDefault="00CE2034">
            <w:pPr>
              <w:pStyle w:val="TableRow"/>
            </w:pPr>
            <w:r>
              <w:t>Stuart Huddleston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4881AF5" w:rsidR="002940F3" w:rsidRDefault="00DD517D">
            <w:pPr>
              <w:pStyle w:val="TableRow"/>
            </w:pPr>
            <w:r>
              <w:t>Lucy Flower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55DC3AD" w:rsidR="002940F3" w:rsidRDefault="00CE2034">
            <w:pPr>
              <w:pStyle w:val="TableRow"/>
            </w:pPr>
            <w:r>
              <w:t>Steph Burns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061D9B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061D9B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7E817F8" w:rsidR="00E66558" w:rsidRDefault="009D71E8">
            <w:pPr>
              <w:pStyle w:val="TableRow"/>
            </w:pPr>
            <w:r>
              <w:t>£</w:t>
            </w:r>
            <w:r w:rsidR="03F084FB">
              <w:t>638,</w:t>
            </w:r>
            <w:r w:rsidR="00DE6345">
              <w:t>205</w:t>
            </w:r>
          </w:p>
        </w:tc>
      </w:tr>
      <w:tr w:rsidR="00E66558" w14:paraId="2A7D54E3" w14:textId="77777777" w:rsidTr="6061D9B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6F379F3" w:rsidR="00E66558" w:rsidRDefault="009D71E8">
            <w:pPr>
              <w:pStyle w:val="TableRow"/>
            </w:pPr>
            <w:r>
              <w:t>£</w:t>
            </w:r>
            <w:r w:rsidR="00DE6345">
              <w:t>638,205</w:t>
            </w:r>
          </w:p>
        </w:tc>
      </w:tr>
    </w:tbl>
    <w:p w14:paraId="2A7D54E4" w14:textId="77777777" w:rsidR="00E66558" w:rsidRDefault="009D71E8">
      <w:pPr>
        <w:pStyle w:val="Heading1"/>
      </w:pPr>
      <w:r>
        <w:lastRenderedPageBreak/>
        <w:t>Part A: Pupil premium strategy plan</w:t>
      </w:r>
    </w:p>
    <w:p w14:paraId="2A7D54E5" w14:textId="1F978CDB" w:rsidR="00E66558" w:rsidRDefault="009D71E8">
      <w:pPr>
        <w:pStyle w:val="Heading2"/>
      </w:pPr>
      <w:bookmarkStart w:id="14" w:name="_Toc357771640"/>
      <w:bookmarkStart w:id="15" w:name="_Toc346793418"/>
      <w:r>
        <w:t>Statement of intent</w:t>
      </w:r>
    </w:p>
    <w:p w14:paraId="1C05D0E4" w14:textId="77777777" w:rsidR="00DD517D" w:rsidRDefault="00DD517D" w:rsidP="00DD517D">
      <w:pPr>
        <w:rPr>
          <w:rFonts w:eastAsia="Arial" w:cs="Arial"/>
          <w:color w:val="0D0D0D" w:themeColor="text1" w:themeTint="F2"/>
        </w:rPr>
      </w:pPr>
      <w:r w:rsidRPr="47811D22">
        <w:rPr>
          <w:rFonts w:eastAsia="Arial" w:cs="Arial"/>
        </w:rPr>
        <w:t xml:space="preserve">The government has determined that it is up to school leaders to decide how to spend the pupil premium. This is because school leaders are best-placed to assess their pupils’ needs and use funding to improve attainment. </w:t>
      </w:r>
    </w:p>
    <w:p w14:paraId="262B82C3" w14:textId="77777777" w:rsidR="00DD517D" w:rsidRDefault="00DD517D" w:rsidP="00DD517D">
      <w:pPr>
        <w:rPr>
          <w:rFonts w:eastAsia="Arial" w:cs="Arial"/>
          <w:color w:val="0D0D0D" w:themeColor="text1" w:themeTint="F2"/>
        </w:rPr>
      </w:pPr>
      <w:r w:rsidRPr="47811D22">
        <w:rPr>
          <w:rFonts w:eastAsia="Arial" w:cs="Arial"/>
        </w:rPr>
        <w:t xml:space="preserve">Evidence suggests that pupil premium spending is most effective when schools use a tiered approach, targeting spending across the following 3 areas below but focusing on teaching quality - investing in learning and development for teachers: </w:t>
      </w:r>
    </w:p>
    <w:p w14:paraId="6E4434B3" w14:textId="77777777" w:rsidR="00DD517D" w:rsidRDefault="00DD517D" w:rsidP="00DD517D">
      <w:pPr>
        <w:rPr>
          <w:rFonts w:eastAsia="Arial" w:cs="Arial"/>
          <w:color w:val="0D0D0D" w:themeColor="text1" w:themeTint="F2"/>
        </w:rPr>
      </w:pPr>
      <w:r w:rsidRPr="47811D22">
        <w:rPr>
          <w:rFonts w:eastAsia="Arial" w:cs="Arial"/>
        </w:rPr>
        <w:t xml:space="preserve">1. Teaching </w:t>
      </w:r>
    </w:p>
    <w:p w14:paraId="49A6AA44" w14:textId="77777777" w:rsidR="00DD517D" w:rsidRDefault="00DD517D" w:rsidP="00DD517D">
      <w:pPr>
        <w:rPr>
          <w:rFonts w:eastAsia="Arial" w:cs="Arial"/>
          <w:color w:val="0D0D0D" w:themeColor="text1" w:themeTint="F2"/>
        </w:rPr>
      </w:pPr>
      <w:r w:rsidRPr="47811D22">
        <w:rPr>
          <w:rFonts w:eastAsia="Arial" w:cs="Arial"/>
        </w:rPr>
        <w:t xml:space="preserve">Schools arrange training and professional development for all their staff to improve the impact of teaching and learning for pupils. </w:t>
      </w:r>
    </w:p>
    <w:p w14:paraId="19DEDAA2" w14:textId="77777777" w:rsidR="00DD517D" w:rsidRDefault="00DD517D" w:rsidP="00DD517D">
      <w:pPr>
        <w:rPr>
          <w:rFonts w:eastAsia="Arial" w:cs="Arial"/>
          <w:color w:val="0D0D0D" w:themeColor="text1" w:themeTint="F2"/>
        </w:rPr>
      </w:pPr>
      <w:r w:rsidRPr="47811D22">
        <w:rPr>
          <w:rFonts w:eastAsia="Arial" w:cs="Arial"/>
        </w:rPr>
        <w:t xml:space="preserve">2. Academic support </w:t>
      </w:r>
    </w:p>
    <w:p w14:paraId="157629DC" w14:textId="77777777" w:rsidR="00DD517D" w:rsidRDefault="00DD517D" w:rsidP="00DD517D">
      <w:pPr>
        <w:rPr>
          <w:rFonts w:eastAsia="Arial" w:cs="Arial"/>
          <w:color w:val="0D0D0D" w:themeColor="text1" w:themeTint="F2"/>
        </w:rPr>
      </w:pPr>
      <w:r w:rsidRPr="47811D22">
        <w:rPr>
          <w:rFonts w:eastAsia="Arial" w:cs="Arial"/>
        </w:rPr>
        <w:t xml:space="preserve">Schools should decide on the main issues stopping their pupils from succeeding at school and use the pupil premium to buy extra help. </w:t>
      </w:r>
    </w:p>
    <w:p w14:paraId="71308874" w14:textId="77777777" w:rsidR="00DD517D" w:rsidRDefault="00DD517D" w:rsidP="00DD517D">
      <w:pPr>
        <w:rPr>
          <w:rFonts w:eastAsia="Arial" w:cs="Arial"/>
          <w:color w:val="0D0D0D" w:themeColor="text1" w:themeTint="F2"/>
        </w:rPr>
      </w:pPr>
      <w:r w:rsidRPr="47811D22">
        <w:rPr>
          <w:rFonts w:eastAsia="Arial" w:cs="Arial"/>
        </w:rPr>
        <w:t xml:space="preserve">3. Wider approaches </w:t>
      </w:r>
    </w:p>
    <w:p w14:paraId="6DEFB86F" w14:textId="77777777" w:rsidR="00DD517D" w:rsidRDefault="00DD517D" w:rsidP="00DD517D">
      <w:pPr>
        <w:rPr>
          <w:rFonts w:eastAsia="Arial" w:cs="Arial"/>
          <w:color w:val="0D0D0D" w:themeColor="text1" w:themeTint="F2"/>
        </w:rPr>
      </w:pPr>
      <w:r w:rsidRPr="6061D9B1">
        <w:rPr>
          <w:rFonts w:eastAsia="Arial" w:cs="Arial"/>
        </w:rPr>
        <w:t>This may include non-academic use of the pupil premium such as: school breakfast clubs; music lessons for disadvantaged pupils; help with the cost of educational trips or visits; speech and language therapy.</w:t>
      </w:r>
    </w:p>
    <w:p w14:paraId="6B68882C" w14:textId="0A00E1F4" w:rsidR="00DD517D" w:rsidRDefault="00DD517D" w:rsidP="00DD517D">
      <w:pPr>
        <w:rPr>
          <w:rFonts w:eastAsia="Arial" w:cs="Arial"/>
          <w:color w:val="0D0D0D" w:themeColor="text1" w:themeTint="F2"/>
        </w:rPr>
      </w:pPr>
      <w:r w:rsidRPr="47811D22">
        <w:rPr>
          <w:rFonts w:eastAsia="Arial" w:cs="Arial"/>
        </w:rPr>
        <w:t xml:space="preserve">At Temple Learning Academy, a high proportion of our pupils who are identified as disadvantaged face significant barriers to their learning which are varied and complex. As such, there is no single solution to change this, requiring careful thought on a personalised basis. This is a global issue throughout the school, as the majority of our pupils are identified as disadvantaged, and many other pupils are in a socio-economic context which is “just below” the threshold for pupil premium funding. </w:t>
      </w:r>
      <w:r>
        <w:rPr>
          <w:rFonts w:eastAsia="Arial" w:cs="Arial"/>
        </w:rPr>
        <w:t>As a result of this, our Pupil Premium strategy is inextricably inter</w:t>
      </w:r>
      <w:r w:rsidR="00794B72">
        <w:rPr>
          <w:rFonts w:eastAsia="Arial" w:cs="Arial"/>
        </w:rPr>
        <w:t>t</w:t>
      </w:r>
      <w:r>
        <w:rPr>
          <w:rFonts w:eastAsia="Arial" w:cs="Arial"/>
        </w:rPr>
        <w:t xml:space="preserve">wined with our School Improvement Plan – with the disadvantaged child at the heart of everything we do. </w:t>
      </w:r>
    </w:p>
    <w:p w14:paraId="437AE557" w14:textId="27968F2C" w:rsidR="008C0B48" w:rsidRPr="004B00CC" w:rsidRDefault="00DD517D" w:rsidP="008C0B48">
      <w:pPr>
        <w:rPr>
          <w:rFonts w:eastAsia="Arial" w:cs="Arial"/>
        </w:rPr>
      </w:pPr>
      <w:r w:rsidRPr="47811D22">
        <w:rPr>
          <w:rFonts w:eastAsia="Arial" w:cs="Arial"/>
        </w:rPr>
        <w:t>A high proportion of pupils are from families in which there is built in social deprivation which can manifest itself in issues such as having low or sporadic attendance, social, emotional and behaviour difficulties and a general lack of engagement in learning and school life. Additionally, pupils may not have the self-confidence and belief to challenge themselves and strive for excellence. Poor attendance is, by far, the biggest barrier to success for our pupils who are identified as disadvantaged.</w:t>
      </w:r>
      <w:r>
        <w:rPr>
          <w:rFonts w:eastAsia="Arial" w:cs="Arial"/>
        </w:rPr>
        <w:t xml:space="preserve"> As a result of this, our strategy is weighted towards funding ‘Wider </w:t>
      </w:r>
      <w:r w:rsidR="008C0B48">
        <w:rPr>
          <w:rFonts w:eastAsia="Arial" w:cs="Arial"/>
        </w:rPr>
        <w:t>Approaches’ for our students and community.</w:t>
      </w:r>
    </w:p>
    <w:p w14:paraId="2A7D54EB" w14:textId="3D320872" w:rsidR="00E66558" w:rsidRPr="008C0B48" w:rsidRDefault="009D71E8" w:rsidP="008C0B48">
      <w:pPr>
        <w:pStyle w:val="Heading1"/>
        <w:rPr>
          <w:rFonts w:eastAsia="Arial" w:cs="Arial"/>
          <w:color w:val="0D0D0D" w:themeColor="text1" w:themeTint="F2"/>
        </w:rPr>
      </w:pPr>
      <w:r w:rsidRPr="008C0B48">
        <w:lastRenderedPageBreak/>
        <w:t>Challenges</w:t>
      </w:r>
    </w:p>
    <w:p w14:paraId="2A7D54EC" w14:textId="70EBE7B2"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119" w:type="pct"/>
        <w:tblInd w:w="-113" w:type="dxa"/>
        <w:tblCellMar>
          <w:left w:w="10" w:type="dxa"/>
          <w:right w:w="10" w:type="dxa"/>
        </w:tblCellMar>
        <w:tblLook w:val="04A0" w:firstRow="1" w:lastRow="0" w:firstColumn="1" w:lastColumn="0" w:noHBand="0" w:noVBand="1"/>
      </w:tblPr>
      <w:tblGrid>
        <w:gridCol w:w="1512"/>
        <w:gridCol w:w="8200"/>
      </w:tblGrid>
      <w:tr w:rsidR="008C0B48" w14:paraId="4B2505D1"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455CBB2" w14:textId="77777777" w:rsidR="008C0B48" w:rsidRDefault="008C0B48" w:rsidP="00794B72">
            <w:pPr>
              <w:pStyle w:val="TableHeader"/>
              <w:jc w:val="left"/>
            </w:pPr>
            <w:r>
              <w:t>Challenge number</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44FC5" w14:textId="77777777" w:rsidR="008C0B48" w:rsidRDefault="008C0B48" w:rsidP="00794B72">
            <w:pPr>
              <w:pStyle w:val="TableHeader"/>
              <w:jc w:val="left"/>
            </w:pPr>
            <w:r>
              <w:t xml:space="preserve">Detail of challenge </w:t>
            </w:r>
          </w:p>
        </w:tc>
      </w:tr>
      <w:tr w:rsidR="008C0B48" w14:paraId="25EB3592"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D072E" w14:textId="77777777" w:rsidR="008C0B48" w:rsidRDefault="008C0B48" w:rsidP="00794B72">
            <w:pPr>
              <w:pStyle w:val="TableRow"/>
              <w:rPr>
                <w:color w:val="0D0D0D" w:themeColor="text1" w:themeTint="F2"/>
              </w:rPr>
            </w:pPr>
            <w:r w:rsidRPr="35E786B2">
              <w:rPr>
                <w:color w:val="0D0D0D" w:themeColor="text1" w:themeTint="F2"/>
              </w:rPr>
              <w:t>1.</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94AE7" w14:textId="00191DB8" w:rsidR="008C0B48" w:rsidRDefault="005D3090" w:rsidP="00794B72">
            <w:pPr>
              <w:rPr>
                <w:rFonts w:eastAsia="Arial" w:cs="Arial"/>
                <w:color w:val="0D0D0D" w:themeColor="text1" w:themeTint="F2"/>
                <w:lang w:val="en-US"/>
              </w:rPr>
            </w:pPr>
            <w:r w:rsidRPr="005D3090">
              <w:rPr>
                <w:rFonts w:eastAsia="Arial" w:cs="Arial"/>
                <w:b/>
                <w:bCs/>
                <w:color w:val="0D0D0D" w:themeColor="text1" w:themeTint="F2"/>
              </w:rPr>
              <w:t>Attendance and punctuality continue to improve</w:t>
            </w:r>
            <w:r w:rsidRPr="005D3090">
              <w:rPr>
                <w:rFonts w:eastAsia="Arial" w:cs="Arial"/>
                <w:color w:val="0D0D0D" w:themeColor="text1" w:themeTint="F2"/>
              </w:rPr>
              <w:t xml:space="preserve">, </w:t>
            </w:r>
            <w:r w:rsidRPr="005D3090">
              <w:rPr>
                <w:rFonts w:eastAsia="Arial" w:cs="Arial"/>
                <w:b/>
                <w:bCs/>
                <w:color w:val="0D0D0D" w:themeColor="text1" w:themeTint="F2"/>
              </w:rPr>
              <w:t>excellence</w:t>
            </w:r>
            <w:r w:rsidRPr="005D3090">
              <w:rPr>
                <w:rFonts w:eastAsia="Arial" w:cs="Arial"/>
                <w:color w:val="0D0D0D" w:themeColor="text1" w:themeTint="F2"/>
              </w:rPr>
              <w:t xml:space="preserve"> in practice and attendance continues to be embedded. </w:t>
            </w:r>
          </w:p>
        </w:tc>
      </w:tr>
      <w:tr w:rsidR="008C0B48" w:rsidRPr="00645FB4" w14:paraId="0E5F4CDC"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2D79D" w14:textId="77777777" w:rsidR="008C0B48" w:rsidRDefault="008C0B48" w:rsidP="00794B72">
            <w:pPr>
              <w:pStyle w:val="TableRow"/>
              <w:rPr>
                <w:sz w:val="22"/>
                <w:szCs w:val="22"/>
              </w:rPr>
            </w:pPr>
            <w:r w:rsidRPr="35E786B2">
              <w:rPr>
                <w:sz w:val="22"/>
                <w:szCs w:val="22"/>
              </w:rPr>
              <w:t>2.</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03A74" w14:textId="27BFF4F8" w:rsidR="008C0B48" w:rsidRPr="00645FB4" w:rsidRDefault="00522318" w:rsidP="00794B72">
            <w:pPr>
              <w:pStyle w:val="TableRowCentered"/>
              <w:ind w:left="0"/>
              <w:jc w:val="left"/>
              <w:rPr>
                <w:rFonts w:eastAsia="Arial" w:cs="Arial"/>
                <w:color w:val="000000" w:themeColor="text1"/>
                <w:szCs w:val="24"/>
                <w:lang w:val="en-US"/>
              </w:rPr>
            </w:pPr>
            <w:r w:rsidRPr="00522318">
              <w:rPr>
                <w:rFonts w:eastAsia="Arial" w:cs="Arial"/>
                <w:b/>
                <w:bCs/>
                <w:color w:val="000000" w:themeColor="text1"/>
                <w:szCs w:val="24"/>
              </w:rPr>
              <w:t>Quality of Education is securely Good, or better, in both phases and all Key Stages.</w:t>
            </w:r>
            <w:r w:rsidRPr="00522318">
              <w:rPr>
                <w:rFonts w:eastAsia="Arial" w:cs="Arial"/>
                <w:color w:val="000000" w:themeColor="text1"/>
                <w:szCs w:val="24"/>
              </w:rPr>
              <w:t> </w:t>
            </w:r>
          </w:p>
        </w:tc>
      </w:tr>
      <w:tr w:rsidR="008C0B48" w14:paraId="15FC16D3"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1449CB" w14:textId="77777777" w:rsidR="008C0B48" w:rsidRDefault="008C0B48" w:rsidP="00794B72">
            <w:pPr>
              <w:pStyle w:val="TableRow"/>
              <w:rPr>
                <w:color w:val="0D0D0D" w:themeColor="text1" w:themeTint="F2"/>
              </w:rPr>
            </w:pPr>
            <w:r w:rsidRPr="35E786B2">
              <w:rPr>
                <w:color w:val="0D0D0D" w:themeColor="text1" w:themeTint="F2"/>
              </w:rPr>
              <w:t>3.</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E269C" w14:textId="6F097672" w:rsidR="008C0B48" w:rsidRDefault="00522318" w:rsidP="00794B72">
            <w:pPr>
              <w:pStyle w:val="TableRowCentered"/>
              <w:jc w:val="left"/>
              <w:rPr>
                <w:rFonts w:eastAsia="Arial" w:cs="Arial"/>
                <w:color w:val="0D0D0D" w:themeColor="text1" w:themeTint="F2"/>
                <w:szCs w:val="24"/>
                <w:lang w:val="en-US"/>
              </w:rPr>
            </w:pPr>
            <w:r w:rsidRPr="00522318">
              <w:rPr>
                <w:rFonts w:eastAsia="Arial" w:cs="Arial"/>
                <w:b/>
                <w:bCs/>
                <w:color w:val="0D0D0D" w:themeColor="text1" w:themeTint="F2"/>
                <w:szCs w:val="24"/>
              </w:rPr>
              <w:t>A courageous Early Years curriculum</w:t>
            </w:r>
            <w:r w:rsidRPr="00522318">
              <w:rPr>
                <w:rFonts w:eastAsia="Arial" w:cs="Arial"/>
                <w:color w:val="0D0D0D" w:themeColor="text1" w:themeTint="F2"/>
                <w:szCs w:val="24"/>
              </w:rPr>
              <w:t xml:space="preserve"> that centres on outstanding interactions and relationships, staff development and a relentless approach to basic skills across the curriculum.  </w:t>
            </w:r>
          </w:p>
        </w:tc>
      </w:tr>
      <w:tr w:rsidR="008C0B48" w14:paraId="0CFD5D8A"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462B7" w14:textId="77777777" w:rsidR="008C0B48" w:rsidRDefault="008C0B48" w:rsidP="00794B72">
            <w:pPr>
              <w:pStyle w:val="TableRow"/>
              <w:rPr>
                <w:sz w:val="22"/>
                <w:szCs w:val="22"/>
              </w:rPr>
            </w:pPr>
            <w:r w:rsidRPr="35E786B2">
              <w:rPr>
                <w:sz w:val="22"/>
                <w:szCs w:val="22"/>
              </w:rPr>
              <w:t>4.</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3568AC" w14:textId="4E71CC20" w:rsidR="008C0B48" w:rsidRDefault="00522318" w:rsidP="00794B72">
            <w:pPr>
              <w:pStyle w:val="TableRowCentered"/>
              <w:jc w:val="left"/>
              <w:rPr>
                <w:rFonts w:eastAsia="Arial" w:cs="Arial"/>
                <w:color w:val="000000" w:themeColor="text1"/>
                <w:szCs w:val="24"/>
                <w:lang w:val="en-US"/>
              </w:rPr>
            </w:pPr>
            <w:r w:rsidRPr="00522318">
              <w:rPr>
                <w:rFonts w:eastAsia="Arial" w:cs="Arial"/>
                <w:b/>
                <w:bCs/>
                <w:szCs w:val="24"/>
              </w:rPr>
              <w:t>A relentless focus on powerful communication</w:t>
            </w:r>
            <w:r w:rsidRPr="00522318">
              <w:rPr>
                <w:rFonts w:eastAsia="Arial" w:cs="Arial"/>
                <w:szCs w:val="24"/>
              </w:rPr>
              <w:t> for all - as readers, as writers, as speakers no matter their background or starting point.  </w:t>
            </w:r>
            <w:r w:rsidR="008C0B48" w:rsidRPr="4B0D14C5">
              <w:rPr>
                <w:rFonts w:eastAsia="Arial" w:cs="Arial"/>
                <w:szCs w:val="24"/>
                <w:lang w:val="en-US"/>
              </w:rPr>
              <w:t xml:space="preserve"> </w:t>
            </w:r>
          </w:p>
        </w:tc>
      </w:tr>
      <w:tr w:rsidR="008C0B48" w14:paraId="161D001A"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A1C72" w14:textId="77777777" w:rsidR="008C0B48" w:rsidRDefault="008C0B48" w:rsidP="00794B72">
            <w:pPr>
              <w:pStyle w:val="TableRow"/>
              <w:rPr>
                <w:color w:val="0D0D0D" w:themeColor="text1" w:themeTint="F2"/>
              </w:rPr>
            </w:pPr>
            <w:r w:rsidRPr="35E786B2">
              <w:rPr>
                <w:color w:val="0D0D0D" w:themeColor="text1" w:themeTint="F2"/>
              </w:rPr>
              <w:t>5.</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22CCA" w14:textId="273EF6E0" w:rsidR="008C0B48" w:rsidRDefault="00522318" w:rsidP="00794B72">
            <w:pPr>
              <w:rPr>
                <w:rFonts w:eastAsia="Arial" w:cs="Arial"/>
                <w:color w:val="0D0D0D" w:themeColor="text1" w:themeTint="F2"/>
              </w:rPr>
            </w:pPr>
            <w:r w:rsidRPr="00522318">
              <w:rPr>
                <w:rFonts w:eastAsia="Arial" w:cs="Arial"/>
                <w:b/>
                <w:bCs/>
                <w:color w:val="0D0D0D" w:themeColor="text1" w:themeTint="F2"/>
              </w:rPr>
              <w:t>Attitudes to learning continue to rise</w:t>
            </w:r>
            <w:r w:rsidRPr="00522318">
              <w:rPr>
                <w:rFonts w:eastAsia="Arial" w:cs="Arial"/>
                <w:color w:val="0D0D0D" w:themeColor="text1" w:themeTint="F2"/>
              </w:rPr>
              <w:t xml:space="preserve">, with all students building </w:t>
            </w:r>
            <w:r w:rsidRPr="00522318">
              <w:rPr>
                <w:rFonts w:eastAsia="Arial" w:cs="Arial"/>
                <w:b/>
                <w:bCs/>
                <w:color w:val="0D0D0D" w:themeColor="text1" w:themeTint="F2"/>
              </w:rPr>
              <w:t>respect</w:t>
            </w:r>
            <w:r w:rsidRPr="00522318">
              <w:rPr>
                <w:rFonts w:eastAsia="Arial" w:cs="Arial"/>
                <w:color w:val="0D0D0D" w:themeColor="text1" w:themeTint="F2"/>
              </w:rPr>
              <w:t>, in all areas of school, able to learn in settled environments free from distraction and socialise in safe and stimulating environments.  </w:t>
            </w:r>
          </w:p>
        </w:tc>
      </w:tr>
      <w:tr w:rsidR="00522318" w14:paraId="6A17DAA1" w14:textId="77777777" w:rsidTr="6061D9B1">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883B96" w14:textId="16B37363" w:rsidR="00522318" w:rsidRPr="35E786B2" w:rsidRDefault="0036457F" w:rsidP="00794B72">
            <w:pPr>
              <w:pStyle w:val="TableRow"/>
              <w:rPr>
                <w:color w:val="0D0D0D" w:themeColor="text1" w:themeTint="F2"/>
              </w:rPr>
            </w:pPr>
            <w:r>
              <w:rPr>
                <w:color w:val="0D0D0D" w:themeColor="text1" w:themeTint="F2"/>
              </w:rPr>
              <w:t>6.</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2B71E" w14:textId="5CB46947" w:rsidR="00522318" w:rsidRPr="00522318" w:rsidRDefault="0036457F" w:rsidP="00794B72">
            <w:pPr>
              <w:rPr>
                <w:rFonts w:eastAsia="Arial" w:cs="Arial"/>
                <w:b/>
                <w:bCs/>
                <w:color w:val="0D0D0D" w:themeColor="text1" w:themeTint="F2"/>
              </w:rPr>
            </w:pPr>
            <w:r w:rsidRPr="0036457F">
              <w:rPr>
                <w:rFonts w:eastAsia="Arial" w:cs="Arial"/>
                <w:b/>
                <w:bCs/>
                <w:color w:val="0D0D0D" w:themeColor="text1" w:themeTint="F2"/>
              </w:rPr>
              <w:t>Personal Development focuses on aspiration and opportunity for contribution to school that engenders a thirst for personal excellence, future success and personal aspiration for all students no matter their background. </w:t>
            </w:r>
          </w:p>
        </w:tc>
      </w:tr>
    </w:tbl>
    <w:p w14:paraId="2A7D5512" w14:textId="7B489199" w:rsidR="00E66558" w:rsidRDefault="009D71E8">
      <w:pPr>
        <w:pStyle w:val="Heading2"/>
      </w:pPr>
      <w:bookmarkStart w:id="16" w:name="_Toc443397160"/>
      <w:r>
        <w:t>Activity in this academic year</w:t>
      </w:r>
    </w:p>
    <w:p w14:paraId="2A7D5513" w14:textId="11F6D343"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47680921" w14:textId="77777777" w:rsidR="00794B72" w:rsidRDefault="00794B72" w:rsidP="00794B72">
      <w:pPr>
        <w:pStyle w:val="Heading3"/>
      </w:pPr>
      <w:r>
        <w:t xml:space="preserve">Teaching </w:t>
      </w:r>
    </w:p>
    <w:p w14:paraId="7D33031D" w14:textId="5ACAEC0D" w:rsidR="00794B72" w:rsidRDefault="00794B72" w:rsidP="6061D9B1">
      <w:pPr>
        <w:rPr>
          <w:i/>
          <w:iCs/>
        </w:rPr>
      </w:pPr>
      <w:r>
        <w:t>Budgeted cost: £</w:t>
      </w:r>
      <w:r w:rsidR="31AD7949">
        <w:t>211,523</w:t>
      </w:r>
    </w:p>
    <w:tbl>
      <w:tblPr>
        <w:tblW w:w="9712" w:type="dxa"/>
        <w:tblCellMar>
          <w:left w:w="10" w:type="dxa"/>
          <w:right w:w="10" w:type="dxa"/>
        </w:tblCellMar>
        <w:tblLook w:val="04A0" w:firstRow="1" w:lastRow="0" w:firstColumn="1" w:lastColumn="0" w:noHBand="0" w:noVBand="1"/>
      </w:tblPr>
      <w:tblGrid>
        <w:gridCol w:w="3477"/>
        <w:gridCol w:w="4627"/>
        <w:gridCol w:w="1608"/>
      </w:tblGrid>
      <w:tr w:rsidR="00794B72" w14:paraId="7896CD23" w14:textId="77777777" w:rsidTr="0C614022">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90B5E5B" w14:textId="77777777" w:rsidR="00794B72" w:rsidRDefault="00794B72" w:rsidP="00794B72">
            <w:pPr>
              <w:pStyle w:val="TableHeader"/>
              <w:jc w:val="left"/>
            </w:pPr>
            <w:r>
              <w:t>Activity</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42F9569" w14:textId="77777777" w:rsidR="00794B72" w:rsidRDefault="00794B72" w:rsidP="00794B72">
            <w:pPr>
              <w:pStyle w:val="TableHeader"/>
              <w:jc w:val="left"/>
            </w:pPr>
            <w:r>
              <w:t>Evidence that supports this approach</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083BA82" w14:textId="77777777" w:rsidR="00794B72" w:rsidRDefault="00794B72" w:rsidP="00794B72">
            <w:pPr>
              <w:pStyle w:val="TableHeader"/>
              <w:jc w:val="left"/>
            </w:pPr>
            <w:r>
              <w:t>Challenge number(s) addressed</w:t>
            </w:r>
          </w:p>
        </w:tc>
      </w:tr>
      <w:tr w:rsidR="00794B72" w14:paraId="4C16B377" w14:textId="77777777" w:rsidTr="0C614022">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83A0C6" w14:textId="6BC8FABE" w:rsidR="00794B72" w:rsidRDefault="00794B72" w:rsidP="00794B72">
            <w:pPr>
              <w:pStyle w:val="TableRow"/>
              <w:ind w:left="0"/>
            </w:pPr>
            <w:r>
              <w:t xml:space="preserve">Enhancement of core subject delivery through the deployment of Red Kite Learning Trust subject directors, working with middle </w:t>
            </w:r>
            <w:r>
              <w:lastRenderedPageBreak/>
              <w:t>leaders on curriculum development and pedagogy.</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BBB4E7" w14:textId="4BEF2A7C" w:rsidR="00794B72" w:rsidRDefault="00794B72" w:rsidP="0C614022">
            <w:pPr>
              <w:pStyle w:val="TableRowCentered"/>
              <w:jc w:val="left"/>
              <w:rPr>
                <w:color w:val="0D0D0D" w:themeColor="text1" w:themeTint="F2"/>
              </w:rPr>
            </w:pPr>
            <w:r w:rsidRPr="0C614022">
              <w:rPr>
                <w:sz w:val="22"/>
                <w:szCs w:val="22"/>
              </w:rPr>
              <w:lastRenderedPageBreak/>
              <w:t xml:space="preserve">Evidence suggests the importance of collaboration amongst colleagues </w:t>
            </w:r>
            <w:hyperlink r:id="rId10">
              <w:r w:rsidR="7901720B" w:rsidRPr="0C614022">
                <w:rPr>
                  <w:rStyle w:val="Hyperlink"/>
                </w:rPr>
                <w:t>Effective Professional Development | EEF (educationendowmentfoundation.org.uk)</w:t>
              </w:r>
            </w:hyperlink>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7EE1D" w14:textId="0C68A917" w:rsidR="00794B72" w:rsidRDefault="00044CB2" w:rsidP="00794B72">
            <w:pPr>
              <w:pStyle w:val="TableRowCentered"/>
              <w:jc w:val="left"/>
              <w:rPr>
                <w:sz w:val="22"/>
                <w:szCs w:val="22"/>
              </w:rPr>
            </w:pPr>
            <w:r>
              <w:rPr>
                <w:sz w:val="22"/>
                <w:szCs w:val="22"/>
              </w:rPr>
              <w:t>2, 3</w:t>
            </w:r>
          </w:p>
        </w:tc>
      </w:tr>
      <w:tr w:rsidR="00794B72" w14:paraId="24B690A2" w14:textId="77777777" w:rsidTr="0C614022">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FA969" w14:textId="77777777" w:rsidR="00794B72" w:rsidRDefault="00794B72" w:rsidP="00794B72">
            <w:pPr>
              <w:pStyle w:val="TableRow"/>
              <w:rPr>
                <w:sz w:val="28"/>
                <w:szCs w:val="28"/>
              </w:rPr>
            </w:pPr>
            <w:r w:rsidRPr="48FE2AD2">
              <w:t>Investment into the CPD of colleagues through employment of a staff development coach who sits on SLT</w:t>
            </w:r>
          </w:p>
          <w:p w14:paraId="0E42D812" w14:textId="77777777" w:rsidR="00794B72" w:rsidRDefault="00794B72" w:rsidP="00794B72">
            <w:pPr>
              <w:pStyle w:val="TableRow"/>
              <w:rPr>
                <w:color w:val="0D0D0D" w:themeColor="text1" w:themeTint="F2"/>
              </w:rPr>
            </w:pPr>
          </w:p>
          <w:p w14:paraId="3567E37C" w14:textId="77777777" w:rsidR="00794B72" w:rsidRDefault="00794B72" w:rsidP="00794B72">
            <w:pPr>
              <w:pStyle w:val="TableRow"/>
              <w:rPr>
                <w:color w:val="0D0D0D" w:themeColor="text1" w:themeTint="F2"/>
              </w:rPr>
            </w:pPr>
            <w:r w:rsidRPr="48FE2AD2">
              <w:rPr>
                <w:color w:val="0D0D0D" w:themeColor="text1" w:themeTint="F2"/>
              </w:rPr>
              <w:t>Reactive CPD programme to reflect most current needs of the staff following each cycle of learning walks and book looks, including middle leader specific development</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EE7AF" w14:textId="77777777" w:rsidR="00794B72" w:rsidRDefault="00794B72" w:rsidP="00794B72">
            <w:pPr>
              <w:pStyle w:val="TableRowCentered"/>
              <w:jc w:val="left"/>
              <w:rPr>
                <w:color w:val="0D0D0D" w:themeColor="text1" w:themeTint="F2"/>
                <w:szCs w:val="24"/>
              </w:rPr>
            </w:pPr>
            <w:r w:rsidRPr="48FE2AD2">
              <w:rPr>
                <w:szCs w:val="24"/>
              </w:rPr>
              <w:t>Effective staff development is key to ensuring the best possible outcomes for students:</w:t>
            </w:r>
            <w:r w:rsidRPr="48FE2AD2">
              <w:rPr>
                <w:sz w:val="22"/>
                <w:szCs w:val="22"/>
              </w:rPr>
              <w:t xml:space="preserve"> </w:t>
            </w:r>
            <w:hyperlink r:id="rId11">
              <w:r w:rsidRPr="48FE2AD2">
                <w:rPr>
                  <w:rStyle w:val="Hyperlink"/>
                </w:rPr>
                <w:t>Effective Professional Development | EEF (educationendowmentfoundation.org.uk)</w:t>
              </w:r>
            </w:hyperlink>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B0409" w14:textId="6364999C" w:rsidR="00794B72" w:rsidRDefault="00044CB2" w:rsidP="00794B72">
            <w:pPr>
              <w:pStyle w:val="TableRowCentered"/>
              <w:jc w:val="left"/>
              <w:rPr>
                <w:sz w:val="22"/>
                <w:szCs w:val="22"/>
              </w:rPr>
            </w:pPr>
            <w:r>
              <w:rPr>
                <w:sz w:val="22"/>
                <w:szCs w:val="22"/>
              </w:rPr>
              <w:t>2, 4</w:t>
            </w:r>
          </w:p>
        </w:tc>
      </w:tr>
      <w:tr w:rsidR="00794B72" w14:paraId="3B093502" w14:textId="77777777" w:rsidTr="0C614022">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D63F1" w14:textId="77777777" w:rsidR="00794B72" w:rsidRDefault="00794B72" w:rsidP="00794B72">
            <w:pPr>
              <w:pStyle w:val="TableRow"/>
              <w:ind w:left="0"/>
              <w:rPr>
                <w:color w:val="0D0D0D" w:themeColor="text1" w:themeTint="F2"/>
              </w:rPr>
            </w:pPr>
            <w:r w:rsidRPr="48FE2AD2">
              <w:rPr>
                <w:color w:val="0D0D0D" w:themeColor="text1" w:themeTint="F2"/>
              </w:rPr>
              <w:t>Significant investment into recruitment and retention of teaching and non-teaching colleagues through additional capacity in the HR team to ensure wellbeing</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FDE35" w14:textId="77777777" w:rsidR="00794B72" w:rsidRDefault="00794B72" w:rsidP="00794B72">
            <w:pPr>
              <w:pStyle w:val="TableRowCentered"/>
              <w:jc w:val="left"/>
              <w:rPr>
                <w:color w:val="0D0D0D" w:themeColor="text1" w:themeTint="F2"/>
                <w:szCs w:val="24"/>
              </w:rPr>
            </w:pPr>
            <w:r w:rsidRPr="48FE2AD2">
              <w:rPr>
                <w:color w:val="0D0D0D" w:themeColor="text1" w:themeTint="F2"/>
                <w:szCs w:val="24"/>
              </w:rPr>
              <w:t xml:space="preserve">Recent research shows the importance of staff wellbeing in securing student outcomes: </w:t>
            </w:r>
            <w:hyperlink r:id="rId12">
              <w:r w:rsidRPr="48FE2AD2">
                <w:rPr>
                  <w:rStyle w:val="Hyperlink"/>
                </w:rPr>
                <w:t>Education staff wellbeing charter - GOV.UK (www.gov.uk)</w:t>
              </w:r>
            </w:hyperlink>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4C5FF0" w14:textId="3FB75924" w:rsidR="00794B72" w:rsidRDefault="00044CB2" w:rsidP="00044CB2">
            <w:pPr>
              <w:pStyle w:val="TableRowCentered"/>
              <w:ind w:left="0"/>
              <w:jc w:val="left"/>
              <w:rPr>
                <w:color w:val="0D0D0D" w:themeColor="text1" w:themeTint="F2"/>
                <w:szCs w:val="24"/>
              </w:rPr>
            </w:pPr>
            <w:r>
              <w:rPr>
                <w:color w:val="0D0D0D" w:themeColor="text1" w:themeTint="F2"/>
                <w:szCs w:val="24"/>
              </w:rPr>
              <w:t>2, 4, 5, 6</w:t>
            </w:r>
          </w:p>
        </w:tc>
      </w:tr>
      <w:tr w:rsidR="0C614022" w14:paraId="4FAC56EE" w14:textId="77777777" w:rsidTr="0C614022">
        <w:trPr>
          <w:trHeight w:val="300"/>
        </w:trPr>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3A59B" w14:textId="7CEE9B24" w:rsidR="27AB1893" w:rsidRDefault="27AB1893" w:rsidP="0C614022">
            <w:pPr>
              <w:pStyle w:val="TableRow"/>
              <w:ind w:left="0"/>
              <w:rPr>
                <w:color w:val="0D0D0D" w:themeColor="text1" w:themeTint="F2"/>
              </w:rPr>
            </w:pPr>
            <w:r w:rsidRPr="0C614022">
              <w:rPr>
                <w:color w:val="0D0D0D" w:themeColor="text1" w:themeTint="F2"/>
              </w:rPr>
              <w:t xml:space="preserve">Continual development of </w:t>
            </w:r>
            <w:r w:rsidR="7298F86A" w:rsidRPr="0C614022">
              <w:rPr>
                <w:color w:val="0D0D0D" w:themeColor="text1" w:themeTint="F2"/>
              </w:rPr>
              <w:t>use of technology to support high quality teaching and learning</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A72CB" w14:textId="515C06CD" w:rsidR="1E709AE0" w:rsidRDefault="1E709AE0" w:rsidP="0C614022">
            <w:pPr>
              <w:pStyle w:val="TableRowCentered"/>
              <w:jc w:val="left"/>
            </w:pPr>
            <w:r>
              <w:t>Research shows the importance of use of technology in supporting high quality teaching and learning</w:t>
            </w:r>
          </w:p>
          <w:p w14:paraId="1C8206FF" w14:textId="4E677EA9" w:rsidR="21CDE24E" w:rsidRDefault="21CDE24E" w:rsidP="0C614022">
            <w:pPr>
              <w:pStyle w:val="TableRowCentered"/>
              <w:jc w:val="left"/>
              <w:rPr>
                <w:color w:val="0D0D0D" w:themeColor="text1" w:themeTint="F2"/>
              </w:rPr>
            </w:pPr>
            <w:hyperlink r:id="rId13">
              <w:r w:rsidRPr="0C614022">
                <w:rPr>
                  <w:rStyle w:val="Hyperlink"/>
                </w:rPr>
                <w:t>Effective Professional Development | EEF (educationendowmentfoundation.org.uk)</w:t>
              </w:r>
            </w:hyperlink>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995C1" w14:textId="6B30353B" w:rsidR="00044CB2" w:rsidRDefault="00044CB2" w:rsidP="00044CB2">
            <w:pPr>
              <w:pStyle w:val="TableRowCentered"/>
              <w:jc w:val="left"/>
              <w:rPr>
                <w:color w:val="0D0D0D" w:themeColor="text1" w:themeTint="F2"/>
              </w:rPr>
            </w:pPr>
            <w:r>
              <w:rPr>
                <w:color w:val="0D0D0D" w:themeColor="text1" w:themeTint="F2"/>
              </w:rPr>
              <w:t>2, 3, 4</w:t>
            </w:r>
          </w:p>
        </w:tc>
      </w:tr>
    </w:tbl>
    <w:p w14:paraId="6B4357C1" w14:textId="77777777" w:rsidR="00794B72" w:rsidRDefault="00794B72" w:rsidP="00794B72"/>
    <w:p w14:paraId="118A72A3" w14:textId="77777777" w:rsidR="00794B72" w:rsidRDefault="00794B72" w:rsidP="00794B72">
      <w:pPr>
        <w:keepNext/>
        <w:spacing w:after="60"/>
        <w:outlineLvl w:val="1"/>
      </w:pPr>
    </w:p>
    <w:p w14:paraId="075CA3DF" w14:textId="77777777" w:rsidR="00794B72" w:rsidRDefault="00794B72" w:rsidP="00794B72">
      <w:pPr>
        <w:rPr>
          <w:b/>
          <w:bCs/>
          <w:color w:val="104F75"/>
          <w:sz w:val="28"/>
          <w:szCs w:val="28"/>
        </w:rPr>
      </w:pPr>
      <w:r w:rsidRPr="48FE2AD2">
        <w:rPr>
          <w:b/>
          <w:bCs/>
          <w:color w:val="104F75"/>
          <w:sz w:val="28"/>
          <w:szCs w:val="28"/>
        </w:rPr>
        <w:t xml:space="preserve">Targeted academic support </w:t>
      </w:r>
    </w:p>
    <w:p w14:paraId="08074E86" w14:textId="1BCA7355" w:rsidR="00794B72" w:rsidRDefault="00794B72" w:rsidP="6061D9B1">
      <w:pPr>
        <w:pStyle w:val="TableRow"/>
      </w:pPr>
      <w:r>
        <w:t>Budgeted cost: £</w:t>
      </w:r>
      <w:r w:rsidR="009523C2">
        <w:t>76,682</w:t>
      </w:r>
    </w:p>
    <w:tbl>
      <w:tblPr>
        <w:tblW w:w="9712" w:type="dxa"/>
        <w:tblCellMar>
          <w:left w:w="10" w:type="dxa"/>
          <w:right w:w="10" w:type="dxa"/>
        </w:tblCellMar>
        <w:tblLook w:val="04A0" w:firstRow="1" w:lastRow="0" w:firstColumn="1" w:lastColumn="0" w:noHBand="0" w:noVBand="1"/>
      </w:tblPr>
      <w:tblGrid>
        <w:gridCol w:w="3549"/>
        <w:gridCol w:w="4513"/>
        <w:gridCol w:w="1650"/>
      </w:tblGrid>
      <w:tr w:rsidR="00794B72" w14:paraId="5F68276E" w14:textId="77777777" w:rsidTr="0C614022">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B5C1A1D" w14:textId="77777777" w:rsidR="00794B72" w:rsidRDefault="00794B72" w:rsidP="00794B72">
            <w:pPr>
              <w:pStyle w:val="TableHeader"/>
              <w:jc w:val="left"/>
            </w:pPr>
            <w:r>
              <w:t>Activity</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7627D30" w14:textId="77777777" w:rsidR="00794B72" w:rsidRDefault="00794B72" w:rsidP="00794B72">
            <w:pPr>
              <w:pStyle w:val="TableHeader"/>
              <w:jc w:val="left"/>
            </w:pPr>
            <w:r>
              <w:t>Evidence that supports this approach</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8696C2F" w14:textId="77777777" w:rsidR="00794B72" w:rsidRDefault="00794B72" w:rsidP="00794B72">
            <w:pPr>
              <w:pStyle w:val="TableHeader"/>
              <w:jc w:val="left"/>
            </w:pPr>
            <w:r>
              <w:t>Challenge number(s) addressed</w:t>
            </w:r>
          </w:p>
        </w:tc>
      </w:tr>
      <w:tr w:rsidR="00794B72" w14:paraId="7D5BAC88" w14:textId="77777777" w:rsidTr="0C614022">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BD976E" w14:textId="25B6113D" w:rsidR="00794B72" w:rsidRDefault="10905035" w:rsidP="0C614022">
            <w:pPr>
              <w:pStyle w:val="TableRow"/>
              <w:rPr>
                <w:rFonts w:eastAsia="Arial" w:cs="Arial"/>
              </w:rPr>
            </w:pPr>
            <w:r w:rsidRPr="0C614022">
              <w:rPr>
                <w:rFonts w:eastAsia="Arial" w:cs="Arial"/>
              </w:rPr>
              <w:t xml:space="preserve">Teaching assistant deployment and interventions with key groups of students. Investment in supply teachers to support with double-staffing classes with high levels of deprivation to </w:t>
            </w:r>
            <w:r w:rsidR="42EC3AC0" w:rsidRPr="0C614022">
              <w:rPr>
                <w:rFonts w:eastAsia="Arial" w:cs="Arial"/>
              </w:rPr>
              <w:t>support with smaller group teaching.</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72317" w14:textId="77777777" w:rsidR="00794B72" w:rsidRDefault="00794B72" w:rsidP="00794B72">
            <w:r w:rsidRPr="48FE2AD2">
              <w:rPr>
                <w:rFonts w:eastAsia="Arial" w:cs="Arial"/>
                <w:color w:val="000000" w:themeColor="text1"/>
              </w:rPr>
              <w:t>Tuition targeted at specific needs and knowledge gaps can be an effective method to support low attaining pupils or those falling behind, both one-to-one and in small groups:</w:t>
            </w:r>
          </w:p>
          <w:p w14:paraId="44B9F1D0" w14:textId="77777777" w:rsidR="00794B72" w:rsidRDefault="00794B72" w:rsidP="00794B72">
            <w:hyperlink r:id="rId14">
              <w:r w:rsidRPr="48FE2AD2">
                <w:rPr>
                  <w:rStyle w:val="Hyperlink"/>
                  <w:rFonts w:eastAsia="Arial" w:cs="Arial"/>
                </w:rPr>
                <w:t>One to one tuition | EEF (educationendowmentfoundation.org.uk)</w:t>
              </w:r>
            </w:hyperlink>
          </w:p>
          <w:p w14:paraId="2C7E84D7" w14:textId="77777777" w:rsidR="00794B72" w:rsidRDefault="00794B72" w:rsidP="00794B72">
            <w:pPr>
              <w:pStyle w:val="TableRowCentered"/>
              <w:ind w:left="0"/>
              <w:jc w:val="left"/>
              <w:rPr>
                <w:color w:val="000000" w:themeColor="text1"/>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B0280" w14:textId="613E2E32" w:rsidR="00794B72" w:rsidRDefault="008A653D" w:rsidP="00794B72">
            <w:pPr>
              <w:pStyle w:val="TableRowCentered"/>
              <w:jc w:val="left"/>
              <w:rPr>
                <w:sz w:val="22"/>
                <w:szCs w:val="22"/>
              </w:rPr>
            </w:pPr>
            <w:r>
              <w:rPr>
                <w:sz w:val="22"/>
                <w:szCs w:val="22"/>
              </w:rPr>
              <w:t>2, 3, 4, 5</w:t>
            </w:r>
          </w:p>
        </w:tc>
      </w:tr>
      <w:tr w:rsidR="00794B72" w14:paraId="3337060D" w14:textId="77777777" w:rsidTr="0C614022">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F6DAE9" w14:textId="77777777" w:rsidR="00794B72" w:rsidRDefault="00794B72" w:rsidP="00794B72">
            <w:pPr>
              <w:pStyle w:val="TableRow"/>
              <w:rPr>
                <w:rFonts w:eastAsia="Arial" w:cs="Arial"/>
                <w:color w:val="0D0D0D" w:themeColor="text1" w:themeTint="F2"/>
              </w:rPr>
            </w:pPr>
            <w:r w:rsidRPr="47811D22">
              <w:rPr>
                <w:rFonts w:eastAsia="Arial" w:cs="Arial"/>
              </w:rPr>
              <w:t xml:space="preserve">Adopting a targeted reciprocal teaching programme as a </w:t>
            </w:r>
            <w:r w:rsidRPr="47811D22">
              <w:rPr>
                <w:rFonts w:eastAsia="Arial" w:cs="Arial"/>
              </w:rPr>
              <w:lastRenderedPageBreak/>
              <w:t>reading intervention for disadvantaged pupils who need additional help to comprehend texts and address vocabulary gaps.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90013" w14:textId="77777777" w:rsidR="00794B72" w:rsidRDefault="00794B72" w:rsidP="00794B72">
            <w:r w:rsidRPr="47811D22">
              <w:rPr>
                <w:rFonts w:eastAsia="Arial" w:cs="Arial"/>
                <w:color w:val="0D0D0D" w:themeColor="text1" w:themeTint="F2"/>
              </w:rPr>
              <w:lastRenderedPageBreak/>
              <w:t xml:space="preserve">Reading comprehension strategies can have a positive impact on pupils’ ability </w:t>
            </w:r>
            <w:r w:rsidRPr="47811D22">
              <w:rPr>
                <w:rFonts w:eastAsia="Arial" w:cs="Arial"/>
                <w:color w:val="0D0D0D" w:themeColor="text1" w:themeTint="F2"/>
              </w:rPr>
              <w:lastRenderedPageBreak/>
              <w:t xml:space="preserve">to understand a text, and this is particularly the case when interventions are delivered over a shorter timespan: </w:t>
            </w:r>
          </w:p>
          <w:p w14:paraId="7AC4B429" w14:textId="77777777" w:rsidR="00794B72" w:rsidRDefault="00794B72" w:rsidP="00794B72">
            <w:pPr>
              <w:pStyle w:val="TableRowCentered"/>
              <w:jc w:val="left"/>
              <w:rPr>
                <w:color w:val="0D0D0D" w:themeColor="text1" w:themeTint="F2"/>
                <w:szCs w:val="24"/>
              </w:rPr>
            </w:pPr>
            <w:hyperlink r:id="rId15">
              <w:r w:rsidRPr="47811D22">
                <w:rPr>
                  <w:rStyle w:val="Hyperlink"/>
                  <w:rFonts w:eastAsia="Arial" w:cs="Arial"/>
                </w:rPr>
                <w:t>Reading comprehension strategies | Toolkit Strand | Education Endowment Foundation | EEF</w:t>
              </w:r>
            </w:hyperlink>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0923C" w14:textId="2DDC15E9" w:rsidR="00794B72" w:rsidRDefault="008A653D" w:rsidP="00794B72">
            <w:pPr>
              <w:pStyle w:val="TableRowCentered"/>
              <w:jc w:val="left"/>
              <w:rPr>
                <w:sz w:val="22"/>
                <w:szCs w:val="22"/>
              </w:rPr>
            </w:pPr>
            <w:r>
              <w:rPr>
                <w:sz w:val="22"/>
                <w:szCs w:val="22"/>
              </w:rPr>
              <w:lastRenderedPageBreak/>
              <w:t>2, 3, 4</w:t>
            </w:r>
          </w:p>
        </w:tc>
      </w:tr>
      <w:tr w:rsidR="00794B72" w14:paraId="2136FE35" w14:textId="77777777" w:rsidTr="0C614022">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FFD08" w14:textId="2EE09289" w:rsidR="00794B72" w:rsidRDefault="00794B72" w:rsidP="00794B72">
            <w:pPr>
              <w:pStyle w:val="TableRow"/>
              <w:rPr>
                <w:rFonts w:eastAsia="Arial" w:cs="Arial"/>
                <w:color w:val="0D0D0D" w:themeColor="text1" w:themeTint="F2"/>
              </w:rPr>
            </w:pPr>
            <w:r w:rsidRPr="48FE2AD2">
              <w:rPr>
                <w:rFonts w:eastAsia="Arial" w:cs="Arial"/>
                <w:color w:val="0D0D0D" w:themeColor="text1" w:themeTint="F2"/>
              </w:rPr>
              <w:t xml:space="preserve">Prioritisation of reading by </w:t>
            </w:r>
            <w:r w:rsidR="009F78DC">
              <w:rPr>
                <w:rFonts w:eastAsia="Arial" w:cs="Arial"/>
                <w:color w:val="0D0D0D" w:themeColor="text1" w:themeTint="F2"/>
              </w:rPr>
              <w:t xml:space="preserve">retention of a </w:t>
            </w:r>
            <w:r w:rsidRPr="48FE2AD2">
              <w:rPr>
                <w:rFonts w:eastAsia="Arial" w:cs="Arial"/>
                <w:color w:val="0D0D0D" w:themeColor="text1" w:themeTint="F2"/>
              </w:rPr>
              <w:t>Reading Champion for each stage throughout the school</w:t>
            </w:r>
          </w:p>
          <w:p w14:paraId="71CB13B7" w14:textId="77777777" w:rsidR="00794B72" w:rsidRDefault="00794B72" w:rsidP="00794B72">
            <w:pPr>
              <w:pStyle w:val="TableRow"/>
              <w:rPr>
                <w:rFonts w:eastAsia="Arial" w:cs="Arial"/>
                <w:color w:val="0D0D0D" w:themeColor="text1" w:themeTint="F2"/>
              </w:rPr>
            </w:pPr>
          </w:p>
          <w:p w14:paraId="16C03E55" w14:textId="77777777" w:rsidR="00794B72" w:rsidRDefault="00794B72" w:rsidP="00794B72">
            <w:pPr>
              <w:pStyle w:val="TableRow"/>
              <w:rPr>
                <w:rFonts w:eastAsia="Arial" w:cs="Arial"/>
                <w:color w:val="0D0D0D" w:themeColor="text1" w:themeTint="F2"/>
              </w:rPr>
            </w:pPr>
            <w:r w:rsidRPr="48FE2AD2">
              <w:rPr>
                <w:rFonts w:eastAsia="Arial" w:cs="Arial"/>
                <w:color w:val="0D0D0D" w:themeColor="text1" w:themeTint="F2"/>
              </w:rPr>
              <w:t>Continuation of resources into phonics and speech programmes including Read Write Inc and Fresh Start, including retention of a Fresh Start leader at middle leadership level</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23F740" w14:textId="77777777" w:rsidR="00794B72" w:rsidRDefault="00794B72" w:rsidP="00794B72">
            <w:r w:rsidRPr="48FE2AD2">
              <w:rPr>
                <w:rFonts w:eastAsia="Arial" w:cs="Arial"/>
                <w:color w:val="0D0D0D" w:themeColor="text1" w:themeTint="F2"/>
              </w:rPr>
              <w:t>Acquiring disciplinary literacy is key for students as they learn new, more complex concepts in each subject:</w:t>
            </w:r>
          </w:p>
          <w:p w14:paraId="46D1512E" w14:textId="77777777" w:rsidR="00794B72" w:rsidRDefault="00794B72" w:rsidP="00794B72">
            <w:hyperlink r:id="rId16">
              <w:r w:rsidRPr="48FE2AD2">
                <w:rPr>
                  <w:rStyle w:val="Hyperlink"/>
                  <w:rFonts w:eastAsia="Arial" w:cs="Arial"/>
                </w:rPr>
                <w:t>Improving Literacy in Secondary Schools</w:t>
              </w:r>
            </w:hyperlink>
          </w:p>
          <w:p w14:paraId="67242002" w14:textId="77777777" w:rsidR="00794B72" w:rsidRDefault="00794B72" w:rsidP="00794B72">
            <w:r w:rsidRPr="48FE2AD2">
              <w:rPr>
                <w:rFonts w:eastAsia="Arial" w:cs="Arial"/>
                <w:color w:val="0D0D0D" w:themeColor="text1" w:themeTint="F2"/>
              </w:rPr>
              <w:t>Reading comprehension, vocabulary and other literacy skills are heavily linked with attainment in maths and English:</w:t>
            </w:r>
          </w:p>
          <w:p w14:paraId="6FECE5CF" w14:textId="77777777" w:rsidR="00794B72" w:rsidRDefault="00794B72" w:rsidP="00794B72">
            <w:pPr>
              <w:rPr>
                <w:color w:val="0D0D0D" w:themeColor="text1" w:themeTint="F2"/>
              </w:rPr>
            </w:pPr>
            <w:hyperlink r:id="rId17">
              <w:r w:rsidRPr="48FE2AD2">
                <w:rPr>
                  <w:rStyle w:val="Hyperlink"/>
                  <w:rFonts w:eastAsia="Arial" w:cs="Arial"/>
                </w:rPr>
                <w:t>word-gap.pdf (oup.com.cn)</w:t>
              </w:r>
            </w:hyperlink>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39246B" w14:textId="246A8827" w:rsidR="00794B72" w:rsidRDefault="008A653D" w:rsidP="00794B72">
            <w:pPr>
              <w:pStyle w:val="TableRowCentered"/>
              <w:jc w:val="left"/>
              <w:rPr>
                <w:color w:val="0D0D0D" w:themeColor="text1" w:themeTint="F2"/>
                <w:szCs w:val="24"/>
              </w:rPr>
            </w:pPr>
            <w:r>
              <w:rPr>
                <w:color w:val="0D0D0D" w:themeColor="text1" w:themeTint="F2"/>
                <w:szCs w:val="24"/>
              </w:rPr>
              <w:t>2, 3, 4</w:t>
            </w:r>
          </w:p>
        </w:tc>
      </w:tr>
    </w:tbl>
    <w:p w14:paraId="55C2E8EE" w14:textId="77777777" w:rsidR="00794B72" w:rsidRDefault="00794B72" w:rsidP="00794B72"/>
    <w:p w14:paraId="316EDCB6" w14:textId="77777777" w:rsidR="00794B72" w:rsidRDefault="00794B72" w:rsidP="00794B72">
      <w:pPr>
        <w:spacing w:after="0"/>
        <w:rPr>
          <w:b/>
          <w:color w:val="104F75"/>
          <w:sz w:val="28"/>
          <w:szCs w:val="28"/>
        </w:rPr>
      </w:pPr>
    </w:p>
    <w:p w14:paraId="0515FB53" w14:textId="77777777" w:rsidR="00794B72" w:rsidRDefault="00794B72" w:rsidP="00794B72">
      <w:pPr>
        <w:rPr>
          <w:b/>
          <w:bCs/>
          <w:color w:val="104F75"/>
          <w:sz w:val="28"/>
          <w:szCs w:val="28"/>
        </w:rPr>
      </w:pPr>
      <w:r w:rsidRPr="48FE2AD2">
        <w:rPr>
          <w:b/>
          <w:bCs/>
          <w:color w:val="104F75"/>
          <w:sz w:val="28"/>
          <w:szCs w:val="28"/>
        </w:rPr>
        <w:t xml:space="preserve">Wider strategies </w:t>
      </w:r>
    </w:p>
    <w:p w14:paraId="37576463" w14:textId="6A23803C" w:rsidR="00794B72" w:rsidRDefault="00794B72" w:rsidP="6061D9B1">
      <w:pPr>
        <w:spacing w:before="240" w:after="120"/>
      </w:pPr>
      <w:r>
        <w:t xml:space="preserve">Budgeted cost: £ </w:t>
      </w:r>
      <w:r w:rsidR="35DADBD4">
        <w:t>350,000</w:t>
      </w:r>
    </w:p>
    <w:tbl>
      <w:tblPr>
        <w:tblW w:w="9712" w:type="dxa"/>
        <w:tblCellMar>
          <w:left w:w="10" w:type="dxa"/>
          <w:right w:w="10" w:type="dxa"/>
        </w:tblCellMar>
        <w:tblLook w:val="04A0" w:firstRow="1" w:lastRow="0" w:firstColumn="1" w:lastColumn="0" w:noHBand="0" w:noVBand="1"/>
      </w:tblPr>
      <w:tblGrid>
        <w:gridCol w:w="3485"/>
        <w:gridCol w:w="4627"/>
        <w:gridCol w:w="1600"/>
      </w:tblGrid>
      <w:tr w:rsidR="00794B72" w14:paraId="5064ED97" w14:textId="77777777" w:rsidTr="0C614022">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EB2FD83" w14:textId="77777777" w:rsidR="00794B72" w:rsidRDefault="00794B72" w:rsidP="00794B72">
            <w:pPr>
              <w:pStyle w:val="TableHeader"/>
              <w:jc w:val="left"/>
            </w:pPr>
            <w:r>
              <w:t>Activity</w:t>
            </w:r>
          </w:p>
        </w:tc>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B45260" w14:textId="77777777" w:rsidR="00794B72" w:rsidRDefault="00794B72" w:rsidP="00794B72">
            <w:pPr>
              <w:pStyle w:val="TableHeader"/>
              <w:jc w:val="left"/>
            </w:pPr>
            <w:r>
              <w:t>Evidence that supports this approach</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7C8E0CD" w14:textId="77777777" w:rsidR="00794B72" w:rsidRDefault="00794B72" w:rsidP="00794B72">
            <w:pPr>
              <w:pStyle w:val="TableHeader"/>
              <w:jc w:val="left"/>
            </w:pPr>
            <w:r>
              <w:t>Challenge number(s) addressed</w:t>
            </w:r>
          </w:p>
        </w:tc>
      </w:tr>
      <w:tr w:rsidR="00794B72" w14:paraId="1DF891F7" w14:textId="77777777" w:rsidTr="0C614022">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BA0E2" w14:textId="77777777" w:rsidR="00794B72" w:rsidRPr="00F34DFF" w:rsidRDefault="00794B72" w:rsidP="00794B72">
            <w:r w:rsidRPr="47811D22">
              <w:rPr>
                <w:rFonts w:eastAsia="Arial" w:cs="Arial"/>
                <w:color w:val="0D0D0D" w:themeColor="text1" w:themeTint="F2"/>
                <w:lang w:val="en-US"/>
              </w:rPr>
              <w:t xml:space="preserve">Embedding principles of good practice set out in DfE’s </w:t>
            </w:r>
            <w:hyperlink r:id="rId18">
              <w:r w:rsidRPr="47811D22">
                <w:rPr>
                  <w:rStyle w:val="Hyperlink"/>
                  <w:rFonts w:eastAsia="Arial" w:cs="Arial"/>
                  <w:lang w:val="en-US"/>
                </w:rPr>
                <w:t>Improving School Attendance</w:t>
              </w:r>
            </w:hyperlink>
            <w:r w:rsidRPr="47811D22">
              <w:rPr>
                <w:rFonts w:eastAsia="Arial" w:cs="Arial"/>
                <w:color w:val="0070C0"/>
                <w:lang w:val="en-US"/>
              </w:rPr>
              <w:t xml:space="preserve"> </w:t>
            </w:r>
            <w:r w:rsidRPr="47811D22">
              <w:rPr>
                <w:rFonts w:eastAsia="Arial" w:cs="Arial"/>
                <w:color w:val="0D0D0D" w:themeColor="text1" w:themeTint="F2"/>
                <w:lang w:val="en-US"/>
              </w:rPr>
              <w:t>advice.</w:t>
            </w:r>
          </w:p>
          <w:p w14:paraId="3257CE93" w14:textId="77777777" w:rsidR="00794B72" w:rsidRPr="00F34DFF" w:rsidRDefault="00794B72" w:rsidP="00794B72">
            <w:pPr>
              <w:pStyle w:val="TableRow"/>
              <w:rPr>
                <w:rFonts w:eastAsia="Arial" w:cs="Arial"/>
                <w:color w:val="000000" w:themeColor="text1"/>
                <w:lang w:val="en-US"/>
              </w:rPr>
            </w:pPr>
            <w:r w:rsidRPr="48FE2AD2">
              <w:rPr>
                <w:rFonts w:eastAsia="Arial" w:cs="Arial"/>
                <w:lang w:val="en-US"/>
              </w:rPr>
              <w:t>Attendance/support officers appointed to improve attendance, and rewards schemes for students and families begun.</w:t>
            </w:r>
          </w:p>
        </w:tc>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EDFE20" w14:textId="7601EC36" w:rsidR="00794B72" w:rsidRDefault="00794B72" w:rsidP="0C614022">
            <w:pPr>
              <w:pStyle w:val="TableRowCentered"/>
              <w:jc w:val="left"/>
              <w:rPr>
                <w:rFonts w:eastAsia="Arial" w:cs="Arial"/>
                <w:color w:val="0D0D0D" w:themeColor="text1" w:themeTint="F2"/>
              </w:rPr>
            </w:pPr>
            <w:r w:rsidRPr="0C614022">
              <w:rPr>
                <w:rFonts w:eastAsia="Arial" w:cs="Arial"/>
              </w:rPr>
              <w:t>The DfE guidance has been informed by engagement with schools that have significantly reduced persistent absence levels.</w:t>
            </w:r>
          </w:p>
          <w:p w14:paraId="04511CFC" w14:textId="225DD340" w:rsidR="00794B72" w:rsidRDefault="0BB10316" w:rsidP="0C614022">
            <w:pPr>
              <w:pStyle w:val="TableRowCentered"/>
              <w:jc w:val="left"/>
              <w:rPr>
                <w:rFonts w:eastAsia="Arial" w:cs="Arial"/>
                <w:color w:val="0D0D0D" w:themeColor="text1" w:themeTint="F2"/>
                <w:lang w:val="en-US"/>
              </w:rPr>
            </w:pPr>
            <w:hyperlink r:id="rId19">
              <w:r w:rsidRPr="0C614022">
                <w:rPr>
                  <w:rStyle w:val="Hyperlink"/>
                  <w:rFonts w:eastAsia="Arial" w:cs="Arial"/>
                  <w:lang w:val="en-US"/>
                </w:rPr>
                <w:t>Improving School Attendance</w:t>
              </w:r>
            </w:hyperlink>
          </w:p>
          <w:p w14:paraId="437AC4BE" w14:textId="008588B9" w:rsidR="00794B72" w:rsidRDefault="0BB10316" w:rsidP="0C614022">
            <w:pPr>
              <w:pStyle w:val="TableRowCentered"/>
              <w:jc w:val="left"/>
              <w:rPr>
                <w:color w:val="0D0D0D" w:themeColor="text1" w:themeTint="F2"/>
              </w:rPr>
            </w:pPr>
            <w:hyperlink r:id="rId20">
              <w:r w:rsidRPr="0C614022">
                <w:rPr>
                  <w:rStyle w:val="Hyperlink"/>
                </w:rPr>
                <w:t>Using pupil premium | EEF (educationendowmentfoundation.org.uk)</w:t>
              </w:r>
            </w:hyperlink>
          </w:p>
          <w:p w14:paraId="6D9CBA63" w14:textId="54010723" w:rsidR="00794B72" w:rsidRDefault="00794B72" w:rsidP="0C614022">
            <w:pPr>
              <w:pStyle w:val="TableRowCentered"/>
              <w:jc w:val="left"/>
              <w:rPr>
                <w:rFonts w:eastAsia="Arial" w:cs="Arial"/>
                <w:lang w:val="en-US"/>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751C4" w14:textId="19D707CC" w:rsidR="00794B72" w:rsidRDefault="008A653D" w:rsidP="00794B72">
            <w:pPr>
              <w:pStyle w:val="TableRowCentered"/>
              <w:jc w:val="left"/>
              <w:rPr>
                <w:sz w:val="22"/>
                <w:szCs w:val="22"/>
              </w:rPr>
            </w:pPr>
            <w:r>
              <w:rPr>
                <w:sz w:val="22"/>
                <w:szCs w:val="22"/>
              </w:rPr>
              <w:t>1, 2, 6</w:t>
            </w:r>
          </w:p>
        </w:tc>
      </w:tr>
      <w:tr w:rsidR="00794B72" w14:paraId="01A0D3CB" w14:textId="77777777" w:rsidTr="0C614022">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46853" w14:textId="77777777" w:rsidR="00794B72" w:rsidRDefault="00794B72" w:rsidP="00794B72">
            <w:pPr>
              <w:pStyle w:val="TableRow"/>
            </w:pPr>
            <w:r w:rsidRPr="48FE2AD2">
              <w:t>Supporting families with economic and social wellbeing through developing a community hub at TLA and employing a full time Mental Health Practitioner</w:t>
            </w:r>
          </w:p>
        </w:tc>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232FD1" w14:textId="77777777" w:rsidR="00794B72" w:rsidRDefault="00794B72" w:rsidP="00794B72">
            <w:pPr>
              <w:pStyle w:val="TableRowCentered"/>
              <w:jc w:val="left"/>
              <w:rPr>
                <w:color w:val="0D0D0D" w:themeColor="text1" w:themeTint="F2"/>
                <w:szCs w:val="24"/>
              </w:rPr>
            </w:pPr>
            <w:r w:rsidRPr="6FFBD9DD">
              <w:rPr>
                <w:sz w:val="22"/>
                <w:szCs w:val="22"/>
              </w:rPr>
              <w:t>DFE guidance and the EEF evidence around PP students strongly encourages the support of parents as detailed in the Parent Engagement review (</w:t>
            </w:r>
            <w:hyperlink r:id="rId21">
              <w:r w:rsidRPr="6FFBD9DD">
                <w:rPr>
                  <w:rStyle w:val="Hyperlink"/>
                </w:rPr>
                <w:t>Parental engagement | EEF (educationendowmentfoundation.org.uk)</w:t>
              </w:r>
            </w:hyperlink>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EE1B7A" w14:textId="223BA4FE" w:rsidR="00794B72" w:rsidRDefault="008A653D" w:rsidP="008A653D">
            <w:pPr>
              <w:pStyle w:val="TableRowCentered"/>
              <w:ind w:left="0"/>
              <w:jc w:val="left"/>
              <w:rPr>
                <w:sz w:val="22"/>
                <w:szCs w:val="22"/>
              </w:rPr>
            </w:pPr>
            <w:r>
              <w:rPr>
                <w:sz w:val="22"/>
                <w:szCs w:val="22"/>
              </w:rPr>
              <w:t>1, 6</w:t>
            </w:r>
          </w:p>
        </w:tc>
      </w:tr>
      <w:tr w:rsidR="00794B72" w14:paraId="22D023A3" w14:textId="77777777" w:rsidTr="0C614022">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9B644" w14:textId="77777777" w:rsidR="00794B72" w:rsidRDefault="00794B72" w:rsidP="00794B72">
            <w:pPr>
              <w:pStyle w:val="TableRow"/>
              <w:rPr>
                <w:color w:val="000000" w:themeColor="text1"/>
              </w:rPr>
            </w:pPr>
            <w:r w:rsidRPr="2A39A111">
              <w:rPr>
                <w:color w:val="000000" w:themeColor="text1"/>
              </w:rPr>
              <w:lastRenderedPageBreak/>
              <w:t>Enriching PP students experience of education through trips and visits, as well as universally offered and targeted extra-curricular clubs</w:t>
            </w:r>
          </w:p>
        </w:tc>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205ED" w14:textId="77777777" w:rsidR="00794B72" w:rsidRDefault="00794B72" w:rsidP="00794B72">
            <w:pPr>
              <w:pStyle w:val="TableRowCentered"/>
              <w:jc w:val="left"/>
              <w:rPr>
                <w:color w:val="0D0D0D" w:themeColor="text1" w:themeTint="F2"/>
                <w:szCs w:val="24"/>
              </w:rPr>
            </w:pPr>
            <w:r w:rsidRPr="48FE2AD2">
              <w:rPr>
                <w:color w:val="000000" w:themeColor="text1"/>
                <w:szCs w:val="24"/>
              </w:rPr>
              <w:t xml:space="preserve">EEF guidance around PP students strongly encourages the increase of cultural capital </w:t>
            </w:r>
            <w:hyperlink r:id="rId22">
              <w:r w:rsidRPr="48FE2AD2">
                <w:rPr>
                  <w:rStyle w:val="Hyperlink"/>
                </w:rPr>
                <w:t>Using pupil premium | EEF (educationendowmentfoundation.org.uk)</w:t>
              </w:r>
            </w:hyperlink>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A356B" w14:textId="6148F24A" w:rsidR="00794B72" w:rsidRDefault="003760B3" w:rsidP="008A653D">
            <w:pPr>
              <w:pStyle w:val="TableRowCentered"/>
              <w:ind w:left="0"/>
              <w:jc w:val="left"/>
              <w:rPr>
                <w:color w:val="000000" w:themeColor="text1"/>
                <w:szCs w:val="24"/>
              </w:rPr>
            </w:pPr>
            <w:r>
              <w:rPr>
                <w:color w:val="000000" w:themeColor="text1"/>
                <w:szCs w:val="24"/>
              </w:rPr>
              <w:t>2, 5, 6</w:t>
            </w:r>
          </w:p>
        </w:tc>
      </w:tr>
      <w:tr w:rsidR="00794B72" w14:paraId="25BED8EB" w14:textId="77777777" w:rsidTr="0C614022">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3EEEC" w14:textId="77777777" w:rsidR="00794B72" w:rsidRDefault="00794B72" w:rsidP="00794B72">
            <w:pPr>
              <w:pStyle w:val="TableRow"/>
              <w:rPr>
                <w:color w:val="000000" w:themeColor="text1"/>
              </w:rPr>
            </w:pPr>
            <w:r w:rsidRPr="48FE2AD2">
              <w:rPr>
                <w:color w:val="000000" w:themeColor="text1"/>
              </w:rPr>
              <w:t xml:space="preserve">Breakfast club offered to both primary and secondary students to support with health and wellbeing </w:t>
            </w:r>
          </w:p>
        </w:tc>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18AE2" w14:textId="77777777" w:rsidR="00794B72" w:rsidRDefault="00794B72" w:rsidP="00794B72">
            <w:pPr>
              <w:pStyle w:val="TableRowCentered"/>
              <w:jc w:val="left"/>
              <w:rPr>
                <w:color w:val="000000" w:themeColor="text1"/>
                <w:szCs w:val="24"/>
              </w:rPr>
            </w:pPr>
            <w:r w:rsidRPr="4B0D14C5">
              <w:t xml:space="preserve">Recent research clearly states the gap between students of disadvantaged families and non-disadvantaged families has broadened as a result of the pandemic. Providing students with a healthy start to their day is beneficial in all aspects of their education: </w:t>
            </w:r>
            <w:hyperlink r:id="rId23">
              <w:r w:rsidRPr="4B0D14C5">
                <w:rPr>
                  <w:rStyle w:val="Hyperlink"/>
                </w:rPr>
                <w:t>Using pupil premium | EEF (educationendowmentfoundation.org.uk)</w:t>
              </w:r>
            </w:hyperlink>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D9CDF5" w14:textId="240BB3A6" w:rsidR="00794B72" w:rsidRDefault="003760B3" w:rsidP="003760B3">
            <w:pPr>
              <w:pStyle w:val="TableRowCentered"/>
              <w:ind w:left="0"/>
              <w:jc w:val="left"/>
              <w:rPr>
                <w:color w:val="000000" w:themeColor="text1"/>
                <w:szCs w:val="24"/>
              </w:rPr>
            </w:pPr>
            <w:r>
              <w:rPr>
                <w:color w:val="000000" w:themeColor="text1"/>
                <w:szCs w:val="24"/>
              </w:rPr>
              <w:t>1, 5, 6</w:t>
            </w:r>
          </w:p>
        </w:tc>
      </w:tr>
      <w:tr w:rsidR="0C614022" w14:paraId="795B741B" w14:textId="77777777" w:rsidTr="0C614022">
        <w:trPr>
          <w:trHeight w:val="300"/>
        </w:trPr>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91C4A" w14:textId="3E60D21A" w:rsidR="1E8E4C92" w:rsidRDefault="1E8E4C92" w:rsidP="0C614022">
            <w:pPr>
              <w:pStyle w:val="TableRow"/>
              <w:rPr>
                <w:color w:val="000000" w:themeColor="text1"/>
              </w:rPr>
            </w:pPr>
            <w:r w:rsidRPr="0C614022">
              <w:rPr>
                <w:color w:val="000000" w:themeColor="text1"/>
              </w:rPr>
              <w:t xml:space="preserve">Investment in holiday ‘schools’ to support students through long breaks by providing cultural enrichment, opportunities for sports, </w:t>
            </w:r>
            <w:r w:rsidR="3CD93EF0" w:rsidRPr="0C614022">
              <w:rPr>
                <w:color w:val="000000" w:themeColor="text1"/>
              </w:rPr>
              <w:t>socialisation</w:t>
            </w:r>
            <w:r w:rsidRPr="0C614022">
              <w:rPr>
                <w:color w:val="000000" w:themeColor="text1"/>
              </w:rPr>
              <w:t>, and healthy meals</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F291F" w14:textId="58962DD3" w:rsidR="50384C89" w:rsidRDefault="50384C89" w:rsidP="0C614022">
            <w:pPr>
              <w:pStyle w:val="TableRowCentered"/>
              <w:jc w:val="left"/>
            </w:pPr>
            <w:r>
              <w:t>Recent research clearly states the gap between students of disadvantaged families and non-disadvantaged families has broadened as a result of the pandemic.</w:t>
            </w:r>
          </w:p>
          <w:p w14:paraId="66A385EB" w14:textId="008588B9" w:rsidR="170598FE" w:rsidRDefault="170598FE" w:rsidP="0C614022">
            <w:pPr>
              <w:pStyle w:val="TableRowCentered"/>
              <w:jc w:val="left"/>
              <w:rPr>
                <w:color w:val="0D0D0D" w:themeColor="text1" w:themeTint="F2"/>
              </w:rPr>
            </w:pPr>
            <w:hyperlink r:id="rId24">
              <w:r w:rsidRPr="0C614022">
                <w:rPr>
                  <w:rStyle w:val="Hyperlink"/>
                </w:rPr>
                <w:t>Using pupil premium | EEF (educationendowmentfoundation.org.uk)</w:t>
              </w:r>
            </w:hyperlink>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53319" w14:textId="46427DF8" w:rsidR="7DE0BF2A" w:rsidRDefault="003760B3" w:rsidP="003760B3">
            <w:pPr>
              <w:pStyle w:val="TableRowCentered"/>
              <w:ind w:left="0"/>
              <w:jc w:val="left"/>
              <w:rPr>
                <w:color w:val="000000" w:themeColor="text1"/>
              </w:rPr>
            </w:pPr>
            <w:r>
              <w:rPr>
                <w:color w:val="000000" w:themeColor="text1"/>
              </w:rPr>
              <w:t>1, 6</w:t>
            </w:r>
          </w:p>
        </w:tc>
      </w:tr>
    </w:tbl>
    <w:p w14:paraId="25946998" w14:textId="77777777" w:rsidR="00794B72" w:rsidRDefault="00794B72" w:rsidP="00794B72"/>
    <w:p w14:paraId="49A3A4DD" w14:textId="77777777" w:rsidR="00794B72" w:rsidRDefault="00794B72" w:rsidP="00794B72">
      <w:pPr>
        <w:spacing w:before="240" w:after="0"/>
        <w:rPr>
          <w:b/>
          <w:bCs/>
          <w:color w:val="104F75"/>
          <w:sz w:val="28"/>
          <w:szCs w:val="28"/>
        </w:rPr>
      </w:pPr>
    </w:p>
    <w:p w14:paraId="6363F089" w14:textId="647D528F" w:rsidR="00794B72" w:rsidRDefault="00794B72" w:rsidP="6061D9B1">
      <w:pPr>
        <w:pStyle w:val="TableRow"/>
        <w:rPr>
          <w:rFonts w:ascii="Arial Nova" w:eastAsia="Arial Nova" w:hAnsi="Arial Nova" w:cs="Arial Nova"/>
        </w:rPr>
      </w:pPr>
      <w:r w:rsidRPr="6061D9B1">
        <w:rPr>
          <w:b/>
          <w:bCs/>
          <w:color w:val="104F75"/>
          <w:sz w:val="28"/>
          <w:szCs w:val="28"/>
        </w:rPr>
        <w:t xml:space="preserve">Total budgeted cost: </w:t>
      </w:r>
      <w:r w:rsidR="23CD1907" w:rsidRPr="6061D9B1">
        <w:rPr>
          <w:rFonts w:ascii="Arial Nova" w:eastAsia="Arial Nova" w:hAnsi="Arial Nova" w:cs="Arial Nova"/>
          <w:b/>
          <w:bCs/>
        </w:rPr>
        <w:t>£</w:t>
      </w:r>
      <w:r w:rsidR="009523C2">
        <w:rPr>
          <w:rFonts w:ascii="Arial Nova" w:eastAsia="Arial Nova" w:hAnsi="Arial Nova" w:cs="Arial Nova"/>
          <w:b/>
          <w:bCs/>
        </w:rPr>
        <w:t>638,205</w:t>
      </w:r>
    </w:p>
    <w:p w14:paraId="25F8986A" w14:textId="40C1D30E" w:rsidR="00794B72" w:rsidRDefault="00794B72" w:rsidP="6061D9B1">
      <w:pPr>
        <w:rPr>
          <w:b/>
          <w:bCs/>
          <w:color w:val="104F75"/>
          <w:sz w:val="28"/>
          <w:szCs w:val="28"/>
        </w:rPr>
      </w:pPr>
    </w:p>
    <w:bookmarkEnd w:id="14"/>
    <w:bookmarkEnd w:id="15"/>
    <w:bookmarkEnd w:id="16"/>
    <w:p w14:paraId="49DC7732" w14:textId="2704DB15" w:rsidR="0C614022" w:rsidRDefault="0C614022" w:rsidP="0358217E">
      <w:pPr>
        <w:rPr>
          <w:b/>
          <w:bCs/>
          <w:color w:val="104F75"/>
          <w:sz w:val="28"/>
          <w:szCs w:val="28"/>
        </w:rPr>
      </w:pPr>
    </w:p>
    <w:p w14:paraId="5A9983E7" w14:textId="62AB3EE3" w:rsidR="0C614022" w:rsidRDefault="0C614022" w:rsidP="0358217E">
      <w:pPr>
        <w:rPr>
          <w:b/>
          <w:bCs/>
          <w:color w:val="104F75"/>
          <w:sz w:val="28"/>
          <w:szCs w:val="28"/>
        </w:rPr>
      </w:pPr>
    </w:p>
    <w:p w14:paraId="6CC902BF" w14:textId="6A5FE08B" w:rsidR="0C614022" w:rsidRDefault="0C614022" w:rsidP="0358217E">
      <w:pPr>
        <w:rPr>
          <w:b/>
          <w:bCs/>
          <w:color w:val="104F75"/>
          <w:sz w:val="28"/>
          <w:szCs w:val="28"/>
        </w:rPr>
      </w:pPr>
    </w:p>
    <w:p w14:paraId="1CE3B1D1" w14:textId="6A1F7444" w:rsidR="0C614022" w:rsidRDefault="0C614022" w:rsidP="0358217E">
      <w:pPr>
        <w:rPr>
          <w:b/>
          <w:bCs/>
          <w:color w:val="104F75"/>
          <w:sz w:val="28"/>
          <w:szCs w:val="28"/>
        </w:rPr>
      </w:pPr>
    </w:p>
    <w:p w14:paraId="08E21A7F" w14:textId="37C9B607" w:rsidR="0C614022" w:rsidRDefault="0C614022" w:rsidP="78D5E5D8">
      <w:pPr>
        <w:rPr>
          <w:rFonts w:ascii="Calibri" w:eastAsia="Calibri" w:hAnsi="Calibri" w:cs="Calibri"/>
        </w:rPr>
      </w:pPr>
    </w:p>
    <w:p w14:paraId="07365FFC" w14:textId="47EF64CA" w:rsidR="0C614022" w:rsidRDefault="0C614022" w:rsidP="0358217E"/>
    <w:p w14:paraId="6E8B4FAA" w14:textId="5AB10BE3" w:rsidR="0C614022" w:rsidRDefault="1BD8727E" w:rsidP="0358217E">
      <w:r w:rsidRPr="0358217E">
        <w:rPr>
          <w:rFonts w:ascii="Calibri" w:eastAsia="Calibri" w:hAnsi="Calibri" w:cs="Calibri"/>
        </w:rPr>
        <w:t xml:space="preserve"> </w:t>
      </w:r>
    </w:p>
    <w:p w14:paraId="16935B16" w14:textId="7FAA0467" w:rsidR="0C614022" w:rsidRDefault="0C614022" w:rsidP="0358217E"/>
    <w:p w14:paraId="14D6CCD5" w14:textId="6850E256" w:rsidR="0C614022" w:rsidRDefault="1BD8727E" w:rsidP="0358217E">
      <w:r w:rsidRPr="0358217E">
        <w:rPr>
          <w:rFonts w:ascii="Calibri" w:eastAsia="Calibri" w:hAnsi="Calibri" w:cs="Calibri"/>
        </w:rPr>
        <w:t xml:space="preserve"> </w:t>
      </w:r>
    </w:p>
    <w:p w14:paraId="442CE6E5" w14:textId="02CCAA0F" w:rsidR="0C614022" w:rsidRDefault="0C614022" w:rsidP="0C614022"/>
    <w:sectPr w:rsidR="0C614022">
      <w:headerReference w:type="default" r:id="rId25"/>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7C5B" w14:textId="77777777" w:rsidR="00794B72" w:rsidRDefault="00794B72">
      <w:pPr>
        <w:spacing w:after="0" w:line="240" w:lineRule="auto"/>
      </w:pPr>
      <w:r>
        <w:separator/>
      </w:r>
    </w:p>
  </w:endnote>
  <w:endnote w:type="continuationSeparator" w:id="0">
    <w:p w14:paraId="3D0B605C" w14:textId="77777777" w:rsidR="00794B72" w:rsidRDefault="00794B72">
      <w:pPr>
        <w:spacing w:after="0" w:line="240" w:lineRule="auto"/>
      </w:pPr>
      <w:r>
        <w:continuationSeparator/>
      </w:r>
    </w:p>
  </w:endnote>
  <w:endnote w:type="continuationNotice" w:id="1">
    <w:p w14:paraId="5937F05E" w14:textId="77777777" w:rsidR="00794B72" w:rsidRDefault="0079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794B72" w:rsidRDefault="00794B7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DFE4" w14:textId="77777777" w:rsidR="00794B72" w:rsidRDefault="00794B72">
      <w:pPr>
        <w:spacing w:after="0" w:line="240" w:lineRule="auto"/>
      </w:pPr>
      <w:r>
        <w:separator/>
      </w:r>
    </w:p>
  </w:footnote>
  <w:footnote w:type="continuationSeparator" w:id="0">
    <w:p w14:paraId="527955F0" w14:textId="77777777" w:rsidR="00794B72" w:rsidRDefault="00794B72">
      <w:pPr>
        <w:spacing w:after="0" w:line="240" w:lineRule="auto"/>
      </w:pPr>
      <w:r>
        <w:continuationSeparator/>
      </w:r>
    </w:p>
  </w:footnote>
  <w:footnote w:type="continuationNotice" w:id="1">
    <w:p w14:paraId="7C8694AF" w14:textId="77777777" w:rsidR="00794B72" w:rsidRDefault="00794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794B72" w:rsidRDefault="0079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2DF5487"/>
    <w:multiLevelType w:val="hybridMultilevel"/>
    <w:tmpl w:val="FF04C048"/>
    <w:lvl w:ilvl="0" w:tplc="18F4B3B4">
      <w:start w:val="1"/>
      <w:numFmt w:val="decimal"/>
      <w:lvlText w:val="%1."/>
      <w:lvlJc w:val="left"/>
      <w:pPr>
        <w:ind w:left="720" w:hanging="360"/>
      </w:pPr>
    </w:lvl>
    <w:lvl w:ilvl="1" w:tplc="B8A4047A">
      <w:start w:val="1"/>
      <w:numFmt w:val="lowerLetter"/>
      <w:lvlText w:val="%2."/>
      <w:lvlJc w:val="left"/>
      <w:pPr>
        <w:ind w:left="1440" w:hanging="360"/>
      </w:pPr>
    </w:lvl>
    <w:lvl w:ilvl="2" w:tplc="083E6D3E">
      <w:start w:val="1"/>
      <w:numFmt w:val="lowerRoman"/>
      <w:lvlText w:val="%3."/>
      <w:lvlJc w:val="right"/>
      <w:pPr>
        <w:ind w:left="2160" w:hanging="180"/>
      </w:pPr>
    </w:lvl>
    <w:lvl w:ilvl="3" w:tplc="574EC4B4">
      <w:start w:val="1"/>
      <w:numFmt w:val="decimal"/>
      <w:lvlText w:val="%4."/>
      <w:lvlJc w:val="left"/>
      <w:pPr>
        <w:ind w:left="2880" w:hanging="360"/>
      </w:pPr>
    </w:lvl>
    <w:lvl w:ilvl="4" w:tplc="CD84E312">
      <w:start w:val="1"/>
      <w:numFmt w:val="lowerLetter"/>
      <w:lvlText w:val="%5."/>
      <w:lvlJc w:val="left"/>
      <w:pPr>
        <w:ind w:left="3600" w:hanging="360"/>
      </w:pPr>
    </w:lvl>
    <w:lvl w:ilvl="5" w:tplc="C5528138">
      <w:start w:val="1"/>
      <w:numFmt w:val="lowerRoman"/>
      <w:lvlText w:val="%6."/>
      <w:lvlJc w:val="right"/>
      <w:pPr>
        <w:ind w:left="4320" w:hanging="180"/>
      </w:pPr>
    </w:lvl>
    <w:lvl w:ilvl="6" w:tplc="A7EC7198">
      <w:start w:val="1"/>
      <w:numFmt w:val="decimal"/>
      <w:lvlText w:val="%7."/>
      <w:lvlJc w:val="left"/>
      <w:pPr>
        <w:ind w:left="5040" w:hanging="360"/>
      </w:pPr>
    </w:lvl>
    <w:lvl w:ilvl="7" w:tplc="475033CE">
      <w:start w:val="1"/>
      <w:numFmt w:val="lowerLetter"/>
      <w:lvlText w:val="%8."/>
      <w:lvlJc w:val="left"/>
      <w:pPr>
        <w:ind w:left="5760" w:hanging="360"/>
      </w:pPr>
    </w:lvl>
    <w:lvl w:ilvl="8" w:tplc="BD5C02D4">
      <w:start w:val="1"/>
      <w:numFmt w:val="lowerRoman"/>
      <w:lvlText w:val="%9."/>
      <w:lvlJc w:val="right"/>
      <w:pPr>
        <w:ind w:left="6480"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15599755">
    <w:abstractNumId w:val="3"/>
  </w:num>
  <w:num w:numId="2" w16cid:durableId="1606117084">
    <w:abstractNumId w:val="1"/>
  </w:num>
  <w:num w:numId="3" w16cid:durableId="1200509194">
    <w:abstractNumId w:val="4"/>
  </w:num>
  <w:num w:numId="4" w16cid:durableId="1769422290">
    <w:abstractNumId w:val="5"/>
  </w:num>
  <w:num w:numId="5" w16cid:durableId="1459375391">
    <w:abstractNumId w:val="0"/>
  </w:num>
  <w:num w:numId="6" w16cid:durableId="292099635">
    <w:abstractNumId w:val="7"/>
  </w:num>
  <w:num w:numId="7" w16cid:durableId="827132292">
    <w:abstractNumId w:val="9"/>
  </w:num>
  <w:num w:numId="8" w16cid:durableId="730229233">
    <w:abstractNumId w:val="13"/>
  </w:num>
  <w:num w:numId="9" w16cid:durableId="1645309522">
    <w:abstractNumId w:val="11"/>
  </w:num>
  <w:num w:numId="10" w16cid:durableId="492528512">
    <w:abstractNumId w:val="10"/>
  </w:num>
  <w:num w:numId="11" w16cid:durableId="1711491074">
    <w:abstractNumId w:val="2"/>
  </w:num>
  <w:num w:numId="12" w16cid:durableId="942616508">
    <w:abstractNumId w:val="12"/>
  </w:num>
  <w:num w:numId="13" w16cid:durableId="2089422215">
    <w:abstractNumId w:val="8"/>
  </w:num>
  <w:num w:numId="14" w16cid:durableId="1782336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4CB2"/>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A33AF"/>
    <w:rsid w:val="002B3574"/>
    <w:rsid w:val="002B6B74"/>
    <w:rsid w:val="002C6AE7"/>
    <w:rsid w:val="002D2D4B"/>
    <w:rsid w:val="002D3805"/>
    <w:rsid w:val="002E66AE"/>
    <w:rsid w:val="002E7763"/>
    <w:rsid w:val="002F5842"/>
    <w:rsid w:val="00306CB7"/>
    <w:rsid w:val="003111F5"/>
    <w:rsid w:val="00336200"/>
    <w:rsid w:val="00337418"/>
    <w:rsid w:val="00351D83"/>
    <w:rsid w:val="00353E46"/>
    <w:rsid w:val="003576C4"/>
    <w:rsid w:val="0036457F"/>
    <w:rsid w:val="00366AB0"/>
    <w:rsid w:val="0037437C"/>
    <w:rsid w:val="003760B3"/>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150"/>
    <w:rsid w:val="00426217"/>
    <w:rsid w:val="00431A80"/>
    <w:rsid w:val="00435A89"/>
    <w:rsid w:val="00452267"/>
    <w:rsid w:val="00453307"/>
    <w:rsid w:val="00457E36"/>
    <w:rsid w:val="00462F8F"/>
    <w:rsid w:val="00481D56"/>
    <w:rsid w:val="00490408"/>
    <w:rsid w:val="004A4C45"/>
    <w:rsid w:val="004B00CC"/>
    <w:rsid w:val="004B0485"/>
    <w:rsid w:val="004B428E"/>
    <w:rsid w:val="004B4D37"/>
    <w:rsid w:val="004C42F0"/>
    <w:rsid w:val="004E1D73"/>
    <w:rsid w:val="0051286E"/>
    <w:rsid w:val="00516021"/>
    <w:rsid w:val="00516457"/>
    <w:rsid w:val="00520A0C"/>
    <w:rsid w:val="00522318"/>
    <w:rsid w:val="00530E37"/>
    <w:rsid w:val="005464A1"/>
    <w:rsid w:val="00546F12"/>
    <w:rsid w:val="0055339C"/>
    <w:rsid w:val="00562B3C"/>
    <w:rsid w:val="00564E40"/>
    <w:rsid w:val="005750E2"/>
    <w:rsid w:val="0058313F"/>
    <w:rsid w:val="00585859"/>
    <w:rsid w:val="00586FBC"/>
    <w:rsid w:val="005879C9"/>
    <w:rsid w:val="005A3C6B"/>
    <w:rsid w:val="005B1EA5"/>
    <w:rsid w:val="005D3090"/>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94B72"/>
    <w:rsid w:val="007A713B"/>
    <w:rsid w:val="007B64E5"/>
    <w:rsid w:val="007C2F04"/>
    <w:rsid w:val="007D4687"/>
    <w:rsid w:val="007F5B8B"/>
    <w:rsid w:val="00817E9A"/>
    <w:rsid w:val="00830D57"/>
    <w:rsid w:val="00860B07"/>
    <w:rsid w:val="008616F6"/>
    <w:rsid w:val="0086259C"/>
    <w:rsid w:val="00883F24"/>
    <w:rsid w:val="00897E1F"/>
    <w:rsid w:val="008A653D"/>
    <w:rsid w:val="008B2CB4"/>
    <w:rsid w:val="008B6404"/>
    <w:rsid w:val="008C0B48"/>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23C2"/>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9F78DC"/>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E3365"/>
    <w:rsid w:val="00AF5E20"/>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CAF"/>
    <w:rsid w:val="00CE2034"/>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517D"/>
    <w:rsid w:val="00DD6B7D"/>
    <w:rsid w:val="00DD6E14"/>
    <w:rsid w:val="00DE15AC"/>
    <w:rsid w:val="00DE6345"/>
    <w:rsid w:val="00DF0039"/>
    <w:rsid w:val="00E061EC"/>
    <w:rsid w:val="00E13E51"/>
    <w:rsid w:val="00E27EA5"/>
    <w:rsid w:val="00E43EAD"/>
    <w:rsid w:val="00E62DCB"/>
    <w:rsid w:val="00E651DD"/>
    <w:rsid w:val="00E66558"/>
    <w:rsid w:val="00E70D81"/>
    <w:rsid w:val="00E726A6"/>
    <w:rsid w:val="00E86F05"/>
    <w:rsid w:val="00E9341E"/>
    <w:rsid w:val="00EA3A2A"/>
    <w:rsid w:val="00EB4556"/>
    <w:rsid w:val="00EB64C8"/>
    <w:rsid w:val="00ED5108"/>
    <w:rsid w:val="00F012CA"/>
    <w:rsid w:val="00F01752"/>
    <w:rsid w:val="00F0355A"/>
    <w:rsid w:val="00F24A7E"/>
    <w:rsid w:val="00F33DC0"/>
    <w:rsid w:val="00F62587"/>
    <w:rsid w:val="00F63E9E"/>
    <w:rsid w:val="00F76843"/>
    <w:rsid w:val="00F776E1"/>
    <w:rsid w:val="00F84F33"/>
    <w:rsid w:val="00F925EB"/>
    <w:rsid w:val="00FA3435"/>
    <w:rsid w:val="00FA6DD0"/>
    <w:rsid w:val="00FB4CDC"/>
    <w:rsid w:val="00FC28DF"/>
    <w:rsid w:val="00FE2947"/>
    <w:rsid w:val="00FE3136"/>
    <w:rsid w:val="00FE50A3"/>
    <w:rsid w:val="00FF369D"/>
    <w:rsid w:val="00FF6FB0"/>
    <w:rsid w:val="015441D1"/>
    <w:rsid w:val="0358217E"/>
    <w:rsid w:val="03F084FB"/>
    <w:rsid w:val="05B6D577"/>
    <w:rsid w:val="0680E4F1"/>
    <w:rsid w:val="069AA0E3"/>
    <w:rsid w:val="06FD8B2C"/>
    <w:rsid w:val="07FFD3D3"/>
    <w:rsid w:val="0B240EAF"/>
    <w:rsid w:val="0BB10316"/>
    <w:rsid w:val="0C614022"/>
    <w:rsid w:val="10905035"/>
    <w:rsid w:val="11473312"/>
    <w:rsid w:val="12450031"/>
    <w:rsid w:val="13173609"/>
    <w:rsid w:val="13D29881"/>
    <w:rsid w:val="14A9F3E3"/>
    <w:rsid w:val="170598FE"/>
    <w:rsid w:val="17187154"/>
    <w:rsid w:val="1A172959"/>
    <w:rsid w:val="1A87F21A"/>
    <w:rsid w:val="1BD8727E"/>
    <w:rsid w:val="1CBF4D92"/>
    <w:rsid w:val="1E709AE0"/>
    <w:rsid w:val="1E8E4C92"/>
    <w:rsid w:val="21CDE24E"/>
    <w:rsid w:val="23CD1907"/>
    <w:rsid w:val="2497129E"/>
    <w:rsid w:val="272E7258"/>
    <w:rsid w:val="27545AC7"/>
    <w:rsid w:val="27AB1893"/>
    <w:rsid w:val="2860AB8E"/>
    <w:rsid w:val="28D25305"/>
    <w:rsid w:val="2A6E2366"/>
    <w:rsid w:val="2FFB967E"/>
    <w:rsid w:val="31AD7949"/>
    <w:rsid w:val="31CC4DD9"/>
    <w:rsid w:val="35DADBD4"/>
    <w:rsid w:val="380BAE89"/>
    <w:rsid w:val="3A3F1ACF"/>
    <w:rsid w:val="3BE13FA2"/>
    <w:rsid w:val="3CD93EF0"/>
    <w:rsid w:val="3EA4202B"/>
    <w:rsid w:val="418407A1"/>
    <w:rsid w:val="42EC3AC0"/>
    <w:rsid w:val="43DC4CC3"/>
    <w:rsid w:val="45EF159A"/>
    <w:rsid w:val="491E3A64"/>
    <w:rsid w:val="4BF69EA0"/>
    <w:rsid w:val="4CF098C0"/>
    <w:rsid w:val="50384C89"/>
    <w:rsid w:val="551AF1F8"/>
    <w:rsid w:val="5731FED5"/>
    <w:rsid w:val="57F874CF"/>
    <w:rsid w:val="5897C092"/>
    <w:rsid w:val="5B79EE83"/>
    <w:rsid w:val="5C40C457"/>
    <w:rsid w:val="5DB3C226"/>
    <w:rsid w:val="5F3A7B6B"/>
    <w:rsid w:val="6061D9B1"/>
    <w:rsid w:val="617B4808"/>
    <w:rsid w:val="61862EB8"/>
    <w:rsid w:val="625D1A15"/>
    <w:rsid w:val="662BF1EE"/>
    <w:rsid w:val="67B0641D"/>
    <w:rsid w:val="6D28B1AF"/>
    <w:rsid w:val="6D616F43"/>
    <w:rsid w:val="6EB73EE5"/>
    <w:rsid w:val="6EE66AB6"/>
    <w:rsid w:val="70823B17"/>
    <w:rsid w:val="71B8E77F"/>
    <w:rsid w:val="721E0B78"/>
    <w:rsid w:val="7298F86A"/>
    <w:rsid w:val="76118F29"/>
    <w:rsid w:val="77AD5F8A"/>
    <w:rsid w:val="78D5E5D8"/>
    <w:rsid w:val="7901720B"/>
    <w:rsid w:val="7BD4ECDF"/>
    <w:rsid w:val="7DE0B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www.gov.uk/government/publications/school-attendance/framework-for-securing-full-attendance-actions-for-schools-and-local-authoriti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parental-engagement" TargetMode="External"/><Relationship Id="rId7" Type="http://schemas.openxmlformats.org/officeDocument/2006/relationships/webSettings" Target="webSettings.xml"/><Relationship Id="rId12" Type="http://schemas.openxmlformats.org/officeDocument/2006/relationships/hyperlink" Target="https://www.gov.uk/guidance/education-staff-wellbeing-charter" TargetMode="External"/><Relationship Id="rId17" Type="http://schemas.openxmlformats.org/officeDocument/2006/relationships/hyperlink" Target="https://www.oup.com.cn/test/word-gap.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literacy-ks3-ks4" TargetMode="External"/><Relationship Id="rId20" Type="http://schemas.openxmlformats.org/officeDocument/2006/relationships/hyperlink" Target="https://educationendowmentfoundation.org.uk/guidance-for-teachers/using-pupil-premiu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hyperlink" Target="https://educationendowmentfoundation.org.uk/guidance-for-teachers/using-pupil-premium" TargetMode="Externa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reading-comprehension-strategies/" TargetMode="External"/><Relationship Id="rId23" Type="http://schemas.openxmlformats.org/officeDocument/2006/relationships/hyperlink" Target="https://educationendowmentfoundation.org.uk/guidance-for-teachers/using-pupil-premium" TargetMode="External"/><Relationship Id="rId28" Type="http://schemas.openxmlformats.org/officeDocument/2006/relationships/theme" Target="theme/theme1.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www.gov.uk/government/publications/school-attendance/framework-for-securing-full-attendance-actions-for-schools-and-local-author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hyperlink" Target="https://educationendowmentfoundation.org.uk/guidance-for-teachers/using-pupil-premiu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398C238CD1A44A9726483153DCDBB" ma:contentTypeVersion="14" ma:contentTypeDescription="Create a new document." ma:contentTypeScope="" ma:versionID="3438076cc4536c52fb0fdc0d457fa026">
  <xsd:schema xmlns:xsd="http://www.w3.org/2001/XMLSchema" xmlns:xs="http://www.w3.org/2001/XMLSchema" xmlns:p="http://schemas.microsoft.com/office/2006/metadata/properties" xmlns:ns3="158acade-84da-469f-9ea7-0ed55fe2fd64" xmlns:ns4="62508dde-2189-439b-9771-6225783c30d7" targetNamespace="http://schemas.microsoft.com/office/2006/metadata/properties" ma:root="true" ma:fieldsID="0d8c577881e71ed69ddb69933bb66d9d" ns3:_="" ns4:_="">
    <xsd:import namespace="158acade-84da-469f-9ea7-0ed55fe2fd64"/>
    <xsd:import namespace="62508dde-2189-439b-9771-6225783c30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cade-84da-469f-9ea7-0ed55fe2fd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08dde-2189-439b-9771-6225783c3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5671D-1BB2-4DDA-A2D2-D84F137D8A20}">
  <ds:schemaRefs>
    <ds:schemaRef ds:uri="http://schemas.microsoft.com/sharepoint/v3/contenttype/forms"/>
  </ds:schemaRefs>
</ds:datastoreItem>
</file>

<file path=customXml/itemProps2.xml><?xml version="1.0" encoding="utf-8"?>
<ds:datastoreItem xmlns:ds="http://schemas.openxmlformats.org/officeDocument/2006/customXml" ds:itemID="{19A0BB80-7E83-4415-A0D8-ECF2835D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cade-84da-469f-9ea7-0ed55fe2fd64"/>
    <ds:schemaRef ds:uri="62508dde-2189-439b-9771-6225783c3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8D980-D679-4AB6-A2D5-66E60CF84E65}">
  <ds:schemaRefs>
    <ds:schemaRef ds:uri="http://purl.org/dc/elements/1.1/"/>
    <ds:schemaRef ds:uri="http://schemas.microsoft.com/office/2006/metadata/properties"/>
    <ds:schemaRef ds:uri="62508dde-2189-439b-9771-6225783c30d7"/>
    <ds:schemaRef ds:uri="http://purl.org/dc/terms/"/>
    <ds:schemaRef ds:uri="158acade-84da-469f-9ea7-0ed55fe2fd6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Lucy Flower</dc:creator>
  <cp:keywords/>
  <dc:description>Master-ET-v3.8</dc:description>
  <cp:lastModifiedBy>Lucy Flower</cp:lastModifiedBy>
  <cp:revision>20</cp:revision>
  <cp:lastPrinted>2014-09-17T21:26:00Z</cp:lastPrinted>
  <dcterms:created xsi:type="dcterms:W3CDTF">2024-12-18T11:50:00Z</dcterms:created>
  <dcterms:modified xsi:type="dcterms:W3CDTF">2024-12-18T13:27:00Z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0x0101001BB398C238CD1A44A9726483153DCDBB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